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5E0" w:rsidRPr="002D2D8E" w:rsidRDefault="00A875E0" w:rsidP="00A875E0">
      <w:pPr>
        <w:ind w:firstLine="720"/>
        <w:jc w:val="center"/>
        <w:rPr>
          <w:rFonts w:ascii="黑体" w:eastAsia="黑体" w:hAnsi="黑体"/>
          <w:sz w:val="36"/>
          <w:szCs w:val="36"/>
        </w:rPr>
      </w:pPr>
      <w:r w:rsidRPr="002D2D8E">
        <w:rPr>
          <w:rFonts w:ascii="黑体" w:eastAsia="黑体" w:hAnsi="黑体" w:hint="eastAsia"/>
          <w:sz w:val="36"/>
          <w:szCs w:val="36"/>
        </w:rPr>
        <w:t>多元共治视角下物业纠纷源头治理路径研究</w:t>
      </w:r>
    </w:p>
    <w:p w:rsidR="00926294" w:rsidRPr="006C36A2" w:rsidRDefault="00926294" w:rsidP="00A875E0">
      <w:pPr>
        <w:ind w:firstLine="720"/>
        <w:jc w:val="center"/>
        <w:rPr>
          <w:rFonts w:ascii="楷体" w:eastAsia="楷体" w:hAnsi="楷体"/>
          <w:sz w:val="36"/>
          <w:szCs w:val="36"/>
        </w:rPr>
      </w:pPr>
      <w:r w:rsidRPr="006C36A2">
        <w:rPr>
          <w:rFonts w:ascii="楷体" w:eastAsia="楷体" w:hAnsi="楷体" w:hint="eastAsia"/>
          <w:sz w:val="36"/>
          <w:szCs w:val="36"/>
        </w:rPr>
        <w:t>苏州市中级人民法院</w:t>
      </w:r>
      <w:r w:rsidR="00BE5385">
        <w:rPr>
          <w:rFonts w:ascii="楷体" w:eastAsia="楷体" w:hAnsi="楷体" w:hint="eastAsia"/>
          <w:sz w:val="36"/>
          <w:szCs w:val="36"/>
        </w:rPr>
        <w:t>民事审判第一庭</w:t>
      </w:r>
      <w:r w:rsidRPr="006C36A2">
        <w:rPr>
          <w:rFonts w:ascii="楷体" w:eastAsia="楷体" w:hAnsi="楷体" w:hint="eastAsia"/>
          <w:sz w:val="36"/>
          <w:szCs w:val="36"/>
        </w:rPr>
        <w:t>课题组</w:t>
      </w:r>
    </w:p>
    <w:p w:rsidR="00A875E0" w:rsidRPr="003D2E02" w:rsidRDefault="00581284" w:rsidP="00FC1369">
      <w:pPr>
        <w:spacing w:line="520" w:lineRule="exact"/>
        <w:ind w:firstLineChars="200" w:firstLine="640"/>
        <w:rPr>
          <w:rFonts w:ascii="Times New Roman" w:eastAsia="仿宋_GB2312"/>
          <w:sz w:val="32"/>
          <w:szCs w:val="32"/>
        </w:rPr>
      </w:pPr>
      <w:r>
        <w:rPr>
          <w:rFonts w:ascii="Times New Roman" w:eastAsia="仿宋_GB2312" w:hAnsi="Times New Roman" w:hint="eastAsia"/>
          <w:sz w:val="32"/>
          <w:szCs w:val="32"/>
        </w:rPr>
        <w:t>物业纠纷虽是“小案件”，却关乎“大民生”，物业纠纷治理是一项系统性工程，需要多方联动、全员参与、持续发力才能真正</w:t>
      </w:r>
      <w:r w:rsidRPr="00457F79">
        <w:rPr>
          <w:rFonts w:ascii="Times New Roman" w:eastAsia="仿宋_GB2312" w:hAnsi="Times New Roman" w:hint="eastAsia"/>
          <w:sz w:val="32"/>
          <w:szCs w:val="32"/>
        </w:rPr>
        <w:t>做实以法治方式促推物业纠纷源头预防化解</w:t>
      </w:r>
      <w:r>
        <w:rPr>
          <w:rFonts w:ascii="Times New Roman" w:eastAsia="仿宋_GB2312" w:hAnsi="Times New Roman" w:hint="eastAsia"/>
          <w:sz w:val="32"/>
          <w:szCs w:val="32"/>
        </w:rPr>
        <w:t>。</w:t>
      </w:r>
      <w:r w:rsidR="00DA7601">
        <w:rPr>
          <w:rFonts w:ascii="Times New Roman" w:eastAsia="仿宋_GB2312" w:hint="eastAsia"/>
          <w:sz w:val="32"/>
          <w:szCs w:val="32"/>
        </w:rPr>
        <w:t>本报告</w:t>
      </w:r>
      <w:r w:rsidR="000B3B03" w:rsidRPr="003D2E02">
        <w:rPr>
          <w:rFonts w:ascii="仿宋_GB2312" w:eastAsia="仿宋_GB2312" w:hint="eastAsia"/>
          <w:sz w:val="32"/>
          <w:szCs w:val="32"/>
        </w:rPr>
        <w:t>聚焦苏州法院物业纠纷领域，梳理物业纠纷源头治理现状、效果和困境，剖析造成物业纠纷治理障碍的成因，最后提出完善物业纠纷源头治理的具体实施路径，以期对推进矛盾纠纷前端预防化解、形成多元综合治理格局、实现社会治理现代化有所裨益。</w:t>
      </w:r>
    </w:p>
    <w:p w:rsidR="00A875E0" w:rsidRPr="003D2E02" w:rsidRDefault="00CF15E9" w:rsidP="00FC1369">
      <w:pPr>
        <w:spacing w:line="520" w:lineRule="exact"/>
        <w:ind w:firstLineChars="200" w:firstLine="640"/>
        <w:rPr>
          <w:rFonts w:ascii="黑体" w:eastAsia="黑体" w:hAnsi="黑体"/>
          <w:sz w:val="32"/>
          <w:szCs w:val="32"/>
        </w:rPr>
      </w:pPr>
      <w:r>
        <w:rPr>
          <w:rFonts w:ascii="黑体" w:eastAsia="黑体" w:hAnsi="黑体" w:hint="eastAsia"/>
          <w:sz w:val="32"/>
          <w:szCs w:val="32"/>
        </w:rPr>
        <w:t>一</w:t>
      </w:r>
      <w:r w:rsidR="00A875E0">
        <w:rPr>
          <w:rFonts w:ascii="黑体" w:eastAsia="黑体" w:hAnsi="黑体" w:hint="eastAsia"/>
          <w:sz w:val="32"/>
          <w:szCs w:val="32"/>
        </w:rPr>
        <w:t>、</w:t>
      </w:r>
      <w:r w:rsidR="00213E46">
        <w:rPr>
          <w:rFonts w:ascii="黑体" w:eastAsia="黑体" w:hAnsi="黑体" w:hint="eastAsia"/>
          <w:sz w:val="32"/>
          <w:szCs w:val="32"/>
        </w:rPr>
        <w:t>苏州地区</w:t>
      </w:r>
      <w:r w:rsidR="00A875E0" w:rsidRPr="003D2E02">
        <w:rPr>
          <w:rFonts w:ascii="黑体" w:eastAsia="黑体" w:hAnsi="黑体" w:hint="eastAsia"/>
          <w:sz w:val="32"/>
          <w:szCs w:val="32"/>
        </w:rPr>
        <w:t>物业纠纷源头治理的适用检视</w:t>
      </w:r>
    </w:p>
    <w:p w:rsidR="00A875E0" w:rsidRPr="001150FE" w:rsidRDefault="00A875E0"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（一）苏州法院物业纠纷案件的实践现状</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1.</w:t>
      </w:r>
      <w:r>
        <w:rPr>
          <w:rFonts w:ascii="Times New Roman" w:eastAsia="仿宋_GB2312" w:hAnsi="Times New Roman" w:hint="eastAsia"/>
          <w:sz w:val="32"/>
          <w:szCs w:val="32"/>
        </w:rPr>
        <w:t>苏州</w:t>
      </w:r>
      <w:r w:rsidRPr="003D2E02">
        <w:rPr>
          <w:rFonts w:ascii="Times New Roman" w:eastAsia="仿宋_GB2312" w:hAnsi="Times New Roman" w:hint="eastAsia"/>
          <w:sz w:val="32"/>
          <w:szCs w:val="32"/>
        </w:rPr>
        <w:t>法院物业纠纷案件收案总体情况</w:t>
      </w:r>
    </w:p>
    <w:p w:rsidR="00EA15CD" w:rsidRPr="009945B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2020</w:t>
      </w:r>
      <w:r w:rsidRPr="003D2E02">
        <w:rPr>
          <w:rFonts w:ascii="Times New Roman" w:eastAsia="仿宋_GB2312" w:hAnsi="Times New Roman" w:hint="eastAsia"/>
          <w:sz w:val="32"/>
          <w:szCs w:val="32"/>
        </w:rPr>
        <w:t>年至</w:t>
      </w:r>
      <w:r w:rsidRPr="003D2E02">
        <w:rPr>
          <w:rFonts w:ascii="Times New Roman" w:eastAsia="仿宋_GB2312" w:hAnsi="Times New Roman" w:hint="eastAsia"/>
          <w:sz w:val="32"/>
          <w:szCs w:val="32"/>
        </w:rPr>
        <w:t>202</w:t>
      </w:r>
      <w:r w:rsidR="00EB35CE">
        <w:rPr>
          <w:rFonts w:ascii="Times New Roman" w:eastAsia="仿宋_GB2312" w:hAnsi="Times New Roman" w:hint="eastAsia"/>
          <w:sz w:val="32"/>
          <w:szCs w:val="32"/>
        </w:rPr>
        <w:t>4</w:t>
      </w:r>
      <w:r w:rsidRPr="003D2E02">
        <w:rPr>
          <w:rFonts w:ascii="Times New Roman" w:eastAsia="仿宋_GB2312" w:hAnsi="Times New Roman" w:hint="eastAsia"/>
          <w:sz w:val="32"/>
          <w:szCs w:val="32"/>
        </w:rPr>
        <w:t>年，</w:t>
      </w:r>
      <w:r>
        <w:rPr>
          <w:rFonts w:ascii="Times New Roman" w:eastAsia="仿宋_GB2312" w:hAnsi="Times New Roman" w:hint="eastAsia"/>
          <w:sz w:val="32"/>
          <w:szCs w:val="32"/>
        </w:rPr>
        <w:t>苏州</w:t>
      </w:r>
      <w:r w:rsidRPr="003D2E02">
        <w:rPr>
          <w:rFonts w:ascii="Times New Roman" w:eastAsia="仿宋_GB2312" w:hAnsi="Times New Roman" w:hint="eastAsia"/>
          <w:sz w:val="32"/>
          <w:szCs w:val="32"/>
        </w:rPr>
        <w:t>全市</w:t>
      </w:r>
      <w:r w:rsidR="0033182F">
        <w:rPr>
          <w:rFonts w:ascii="Times New Roman" w:eastAsia="仿宋_GB2312" w:hAnsi="Times New Roman" w:hint="eastAsia"/>
          <w:sz w:val="32"/>
          <w:szCs w:val="32"/>
        </w:rPr>
        <w:t>两级</w:t>
      </w:r>
      <w:r w:rsidRPr="003D2E02">
        <w:rPr>
          <w:rFonts w:ascii="Times New Roman" w:eastAsia="仿宋_GB2312" w:hAnsi="Times New Roman" w:hint="eastAsia"/>
          <w:sz w:val="32"/>
          <w:szCs w:val="32"/>
        </w:rPr>
        <w:t>法院新收物业类纠纷案件</w:t>
      </w:r>
      <w:r w:rsidR="00F62303" w:rsidRPr="00F62303">
        <w:rPr>
          <w:rFonts w:ascii="Times New Roman" w:eastAsia="仿宋_GB2312" w:hAnsi="Times New Roman" w:hint="eastAsia"/>
          <w:sz w:val="32"/>
          <w:szCs w:val="32"/>
        </w:rPr>
        <w:t>23261</w:t>
      </w:r>
      <w:r w:rsidRPr="003D2E02">
        <w:rPr>
          <w:rFonts w:ascii="Times New Roman" w:eastAsia="仿宋_GB2312" w:hAnsi="Times New Roman" w:hint="eastAsia"/>
          <w:sz w:val="32"/>
          <w:szCs w:val="32"/>
        </w:rPr>
        <w:t>件，其中</w:t>
      </w:r>
      <w:r w:rsidRPr="003D2E02">
        <w:rPr>
          <w:rFonts w:ascii="Times New Roman" w:eastAsia="仿宋_GB2312" w:hAnsi="Times New Roman" w:hint="eastAsia"/>
          <w:sz w:val="32"/>
          <w:szCs w:val="32"/>
        </w:rPr>
        <w:t>2020</w:t>
      </w:r>
      <w:r w:rsidRPr="003D2E02">
        <w:rPr>
          <w:rFonts w:ascii="Times New Roman" w:eastAsia="仿宋_GB2312" w:hAnsi="Times New Roman" w:hint="eastAsia"/>
          <w:sz w:val="32"/>
          <w:szCs w:val="32"/>
        </w:rPr>
        <w:t>年新收</w:t>
      </w:r>
      <w:r w:rsidRPr="003D2E02">
        <w:rPr>
          <w:rFonts w:ascii="Times New Roman" w:eastAsia="仿宋_GB2312" w:hAnsi="Times New Roman" w:hint="eastAsia"/>
          <w:sz w:val="32"/>
          <w:szCs w:val="32"/>
        </w:rPr>
        <w:t>7088</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2021</w:t>
      </w:r>
      <w:r w:rsidRPr="003D2E02">
        <w:rPr>
          <w:rFonts w:ascii="Times New Roman" w:eastAsia="仿宋_GB2312" w:hAnsi="Times New Roman" w:hint="eastAsia"/>
          <w:sz w:val="32"/>
          <w:szCs w:val="32"/>
        </w:rPr>
        <w:t>年新收</w:t>
      </w:r>
      <w:r w:rsidRPr="003D2E02">
        <w:rPr>
          <w:rFonts w:ascii="Times New Roman" w:eastAsia="仿宋_GB2312" w:hAnsi="Times New Roman" w:hint="eastAsia"/>
          <w:sz w:val="32"/>
          <w:szCs w:val="32"/>
        </w:rPr>
        <w:t>5960</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2022</w:t>
      </w:r>
      <w:r w:rsidRPr="003D2E02">
        <w:rPr>
          <w:rFonts w:ascii="Times New Roman" w:eastAsia="仿宋_GB2312" w:hAnsi="Times New Roman" w:hint="eastAsia"/>
          <w:sz w:val="32"/>
          <w:szCs w:val="32"/>
        </w:rPr>
        <w:t>年新收</w:t>
      </w:r>
      <w:r w:rsidRPr="003D2E02">
        <w:rPr>
          <w:rFonts w:ascii="Times New Roman" w:eastAsia="仿宋_GB2312" w:hAnsi="Times New Roman" w:hint="eastAsia"/>
          <w:sz w:val="32"/>
          <w:szCs w:val="32"/>
        </w:rPr>
        <w:t>4577</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2023</w:t>
      </w:r>
      <w:r w:rsidRPr="003D2E02">
        <w:rPr>
          <w:rFonts w:ascii="Times New Roman" w:eastAsia="仿宋_GB2312" w:hAnsi="Times New Roman" w:hint="eastAsia"/>
          <w:sz w:val="32"/>
          <w:szCs w:val="32"/>
        </w:rPr>
        <w:t>新收</w:t>
      </w:r>
      <w:r w:rsidRPr="003D2E02">
        <w:rPr>
          <w:rFonts w:ascii="Times New Roman" w:eastAsia="仿宋_GB2312" w:hAnsi="Times New Roman" w:hint="eastAsia"/>
          <w:sz w:val="32"/>
          <w:szCs w:val="32"/>
        </w:rPr>
        <w:t>3807</w:t>
      </w:r>
      <w:r w:rsidRPr="003D2E02">
        <w:rPr>
          <w:rFonts w:ascii="Times New Roman" w:eastAsia="仿宋_GB2312" w:hAnsi="Times New Roman" w:hint="eastAsia"/>
          <w:sz w:val="32"/>
          <w:szCs w:val="32"/>
        </w:rPr>
        <w:t>件，</w:t>
      </w:r>
      <w:r w:rsidR="00FC1369" w:rsidRPr="00F62303">
        <w:rPr>
          <w:rFonts w:ascii="Times New Roman" w:eastAsia="仿宋_GB2312" w:hAnsi="Times New Roman" w:hint="eastAsia"/>
          <w:sz w:val="32"/>
          <w:szCs w:val="32"/>
        </w:rPr>
        <w:t>2024</w:t>
      </w:r>
      <w:r w:rsidR="00FC1369" w:rsidRPr="00F62303">
        <w:rPr>
          <w:rFonts w:ascii="Times New Roman" w:eastAsia="仿宋_GB2312" w:hAnsi="Times New Roman" w:hint="eastAsia"/>
          <w:sz w:val="32"/>
          <w:szCs w:val="32"/>
        </w:rPr>
        <w:t>年新收</w:t>
      </w:r>
      <w:r w:rsidR="00F62303" w:rsidRPr="00F62303">
        <w:rPr>
          <w:rFonts w:ascii="Times New Roman" w:eastAsia="仿宋_GB2312" w:hAnsi="Times New Roman" w:hint="eastAsia"/>
          <w:sz w:val="32"/>
          <w:szCs w:val="32"/>
        </w:rPr>
        <w:t>1829</w:t>
      </w:r>
      <w:r w:rsidR="00FC1369" w:rsidRPr="00F62303">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202</w:t>
      </w:r>
      <w:r w:rsidR="00F62303">
        <w:rPr>
          <w:rFonts w:ascii="Times New Roman" w:eastAsia="仿宋_GB2312" w:hAnsi="Times New Roman" w:hint="eastAsia"/>
          <w:sz w:val="32"/>
          <w:szCs w:val="32"/>
        </w:rPr>
        <w:t>4</w:t>
      </w:r>
      <w:r w:rsidRPr="003D2E02">
        <w:rPr>
          <w:rFonts w:ascii="Times New Roman" w:eastAsia="仿宋_GB2312" w:hAnsi="Times New Roman" w:hint="eastAsia"/>
          <w:sz w:val="32"/>
          <w:szCs w:val="32"/>
        </w:rPr>
        <w:t>年与</w:t>
      </w:r>
      <w:r w:rsidRPr="003D2E02">
        <w:rPr>
          <w:rFonts w:ascii="Times New Roman" w:eastAsia="仿宋_GB2312" w:hAnsi="Times New Roman" w:hint="eastAsia"/>
          <w:sz w:val="32"/>
          <w:szCs w:val="32"/>
        </w:rPr>
        <w:t>2020</w:t>
      </w:r>
      <w:r w:rsidR="00F62303">
        <w:rPr>
          <w:rFonts w:ascii="Times New Roman" w:eastAsia="仿宋_GB2312" w:hAnsi="Times New Roman" w:hint="eastAsia"/>
          <w:sz w:val="32"/>
          <w:szCs w:val="32"/>
        </w:rPr>
        <w:t>年相比，新收案件数下降约</w:t>
      </w:r>
      <w:r w:rsidR="00F62303">
        <w:rPr>
          <w:rFonts w:ascii="Times New Roman" w:eastAsia="仿宋_GB2312" w:hAnsi="Times New Roman" w:hint="eastAsia"/>
          <w:sz w:val="32"/>
          <w:szCs w:val="32"/>
        </w:rPr>
        <w:t>75%</w:t>
      </w:r>
      <w:r w:rsidRPr="003D2E02">
        <w:rPr>
          <w:rFonts w:ascii="Times New Roman" w:eastAsia="仿宋_GB2312" w:hAnsi="Times New Roman" w:hint="eastAsia"/>
          <w:sz w:val="32"/>
          <w:szCs w:val="32"/>
        </w:rPr>
        <w:t>。基层法院</w:t>
      </w:r>
      <w:r w:rsidR="00FC1369">
        <w:rPr>
          <w:rFonts w:ascii="Times New Roman" w:eastAsia="仿宋_GB2312" w:hAnsi="Times New Roman" w:hint="eastAsia"/>
          <w:sz w:val="32"/>
          <w:szCs w:val="32"/>
        </w:rPr>
        <w:t>五</w:t>
      </w:r>
      <w:r w:rsidRPr="003D2E02">
        <w:rPr>
          <w:rFonts w:ascii="Times New Roman" w:eastAsia="仿宋_GB2312" w:hAnsi="Times New Roman" w:hint="eastAsia"/>
          <w:sz w:val="32"/>
          <w:szCs w:val="32"/>
        </w:rPr>
        <w:t>年分别新收</w:t>
      </w:r>
      <w:r w:rsidR="0033182F">
        <w:rPr>
          <w:rFonts w:ascii="Times New Roman" w:eastAsia="仿宋_GB2312" w:hAnsi="Times New Roman" w:hint="eastAsia"/>
          <w:sz w:val="32"/>
          <w:szCs w:val="32"/>
        </w:rPr>
        <w:t>物业纠纷案件数为</w:t>
      </w:r>
      <w:r w:rsidRPr="003D2E02">
        <w:rPr>
          <w:rFonts w:ascii="Times New Roman" w:eastAsia="仿宋_GB2312" w:hAnsi="Times New Roman" w:hint="eastAsia"/>
          <w:sz w:val="32"/>
          <w:szCs w:val="32"/>
        </w:rPr>
        <w:t>6982</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5840</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4462</w:t>
      </w:r>
      <w:r w:rsidRPr="003D2E02">
        <w:rPr>
          <w:rFonts w:ascii="Times New Roman" w:eastAsia="仿宋_GB2312" w:hAnsi="Times New Roman" w:hint="eastAsia"/>
          <w:sz w:val="32"/>
          <w:szCs w:val="32"/>
        </w:rPr>
        <w:t>件、</w:t>
      </w:r>
      <w:r w:rsidRPr="003D2E02">
        <w:rPr>
          <w:rFonts w:ascii="Times New Roman" w:eastAsia="仿宋_GB2312" w:hAnsi="Times New Roman" w:hint="eastAsia"/>
          <w:sz w:val="32"/>
          <w:szCs w:val="32"/>
        </w:rPr>
        <w:t>3675</w:t>
      </w:r>
      <w:r w:rsidR="0033182F">
        <w:rPr>
          <w:rFonts w:ascii="Times New Roman" w:eastAsia="仿宋_GB2312" w:hAnsi="Times New Roman" w:hint="eastAsia"/>
          <w:sz w:val="32"/>
          <w:szCs w:val="32"/>
        </w:rPr>
        <w:t>件</w:t>
      </w:r>
      <w:r w:rsidR="00FC1369">
        <w:rPr>
          <w:rFonts w:ascii="Times New Roman" w:eastAsia="仿宋_GB2312" w:hAnsi="Times New Roman" w:hint="eastAsia"/>
          <w:sz w:val="32"/>
          <w:szCs w:val="32"/>
        </w:rPr>
        <w:t>、</w:t>
      </w:r>
      <w:r w:rsidR="00F62303">
        <w:rPr>
          <w:rFonts w:ascii="Times New Roman" w:eastAsia="仿宋_GB2312" w:hAnsi="Times New Roman" w:hint="eastAsia"/>
          <w:sz w:val="32"/>
          <w:szCs w:val="32"/>
        </w:rPr>
        <w:t>1694</w:t>
      </w:r>
      <w:r w:rsidR="00FC1369">
        <w:rPr>
          <w:rFonts w:ascii="Times New Roman" w:eastAsia="仿宋_GB2312" w:hAnsi="Times New Roman" w:hint="eastAsia"/>
          <w:sz w:val="32"/>
          <w:szCs w:val="32"/>
        </w:rPr>
        <w:t>件</w:t>
      </w:r>
      <w:r w:rsidR="0033182F">
        <w:rPr>
          <w:rFonts w:ascii="Times New Roman" w:eastAsia="仿宋_GB2312" w:hAnsi="Times New Roman" w:hint="eastAsia"/>
          <w:sz w:val="32"/>
          <w:szCs w:val="32"/>
        </w:rPr>
        <w:t>，</w:t>
      </w:r>
      <w:r w:rsidRPr="003D2E02">
        <w:rPr>
          <w:rFonts w:ascii="Times New Roman" w:eastAsia="仿宋_GB2312" w:hAnsi="Times New Roman" w:hint="eastAsia"/>
          <w:sz w:val="32"/>
          <w:szCs w:val="32"/>
        </w:rPr>
        <w:t>新收案件</w:t>
      </w:r>
      <w:r w:rsidR="0033182F">
        <w:rPr>
          <w:rFonts w:ascii="Times New Roman" w:eastAsia="仿宋_GB2312" w:hAnsi="Times New Roman" w:hint="eastAsia"/>
          <w:sz w:val="32"/>
          <w:szCs w:val="32"/>
        </w:rPr>
        <w:t>量</w:t>
      </w:r>
      <w:r w:rsidRPr="003D2E02">
        <w:rPr>
          <w:rFonts w:ascii="Times New Roman" w:eastAsia="仿宋_GB2312" w:hAnsi="Times New Roman" w:hint="eastAsia"/>
          <w:sz w:val="32"/>
          <w:szCs w:val="32"/>
        </w:rPr>
        <w:t>呈逐年下降趋势，由此可见物业纠纷源头治理工作在全市范围内取得一定成效，物业人居环境有所改善，小区物业服务企业与业主之间的关系有所缓和。</w:t>
      </w:r>
    </w:p>
    <w:p w:rsidR="00A875E0" w:rsidRDefault="00A875E0" w:rsidP="00A875E0">
      <w:pPr>
        <w:ind w:firstLine="560"/>
        <w:jc w:val="center"/>
        <w:rPr>
          <w:rFonts w:ascii="楷体" w:eastAsia="楷体" w:hAnsi="楷体"/>
          <w:sz w:val="28"/>
          <w:szCs w:val="28"/>
        </w:rPr>
      </w:pPr>
      <w:r>
        <w:rPr>
          <w:rFonts w:ascii="楷体" w:eastAsia="楷体" w:hAnsi="楷体" w:hint="eastAsia"/>
          <w:sz w:val="28"/>
          <w:szCs w:val="28"/>
        </w:rPr>
        <w:t>表1：苏州法院2020-202</w:t>
      </w:r>
      <w:r w:rsidR="009E0164">
        <w:rPr>
          <w:rFonts w:ascii="楷体" w:eastAsia="楷体" w:hAnsi="楷体" w:hint="eastAsia"/>
          <w:sz w:val="28"/>
          <w:szCs w:val="28"/>
        </w:rPr>
        <w:t>4</w:t>
      </w:r>
      <w:r>
        <w:rPr>
          <w:rFonts w:ascii="楷体" w:eastAsia="楷体" w:hAnsi="楷体" w:hint="eastAsia"/>
          <w:sz w:val="28"/>
          <w:szCs w:val="28"/>
        </w:rPr>
        <w:t>新收物业纠纷案件数量</w:t>
      </w:r>
    </w:p>
    <w:p w:rsidR="00671B88" w:rsidRDefault="00A875E0" w:rsidP="00FC1369">
      <w:pPr>
        <w:ind w:firstLineChars="200" w:firstLine="560"/>
        <w:rPr>
          <w:rFonts w:ascii="Times New Roman" w:eastAsia="仿宋_GB2312" w:hAnsi="Times New Roman"/>
          <w:sz w:val="28"/>
          <w:szCs w:val="28"/>
        </w:rPr>
      </w:pPr>
      <w:r>
        <w:rPr>
          <w:rFonts w:ascii="Times New Roman" w:eastAsia="仿宋_GB2312" w:hAnsi="Times New Roman"/>
          <w:noProof/>
          <w:sz w:val="28"/>
          <w:szCs w:val="28"/>
        </w:rPr>
        <w:lastRenderedPageBreak/>
        <w:drawing>
          <wp:inline distT="0" distB="0" distL="0" distR="0" wp14:anchorId="40DB2A8C" wp14:editId="32FC25FC">
            <wp:extent cx="4699590" cy="3774559"/>
            <wp:effectExtent l="0" t="0" r="63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2.</w:t>
      </w:r>
      <w:r>
        <w:rPr>
          <w:rFonts w:ascii="Times New Roman" w:eastAsia="仿宋_GB2312" w:hAnsi="Times New Roman" w:hint="eastAsia"/>
          <w:sz w:val="32"/>
          <w:szCs w:val="32"/>
        </w:rPr>
        <w:t>苏州</w:t>
      </w:r>
      <w:r w:rsidRPr="003D2E02">
        <w:rPr>
          <w:rFonts w:ascii="Times New Roman" w:eastAsia="仿宋_GB2312" w:hAnsi="Times New Roman" w:hint="eastAsia"/>
          <w:sz w:val="32"/>
          <w:szCs w:val="32"/>
        </w:rPr>
        <w:t>法院物业纠纷</w:t>
      </w:r>
      <w:r>
        <w:rPr>
          <w:rFonts w:ascii="Times New Roman" w:eastAsia="仿宋_GB2312" w:hAnsi="Times New Roman" w:hint="eastAsia"/>
          <w:sz w:val="32"/>
          <w:szCs w:val="32"/>
        </w:rPr>
        <w:t>一审</w:t>
      </w:r>
      <w:r w:rsidRPr="003D2E02">
        <w:rPr>
          <w:rFonts w:ascii="Times New Roman" w:eastAsia="仿宋_GB2312" w:hAnsi="Times New Roman" w:hint="eastAsia"/>
          <w:sz w:val="32"/>
          <w:szCs w:val="32"/>
        </w:rPr>
        <w:t>案件收案情况</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从时间维度上来看，相较于</w:t>
      </w:r>
      <w:r w:rsidRPr="003D2E02">
        <w:rPr>
          <w:rFonts w:ascii="Times New Roman" w:eastAsia="仿宋_GB2312" w:hAnsi="Times New Roman" w:hint="eastAsia"/>
          <w:sz w:val="32"/>
          <w:szCs w:val="32"/>
        </w:rPr>
        <w:t>2020</w:t>
      </w:r>
      <w:r w:rsidRPr="003D2E02">
        <w:rPr>
          <w:rFonts w:ascii="Times New Roman" w:eastAsia="仿宋_GB2312" w:hAnsi="Times New Roman" w:hint="eastAsia"/>
          <w:sz w:val="32"/>
          <w:szCs w:val="32"/>
        </w:rPr>
        <w:t>年，</w:t>
      </w:r>
      <w:r w:rsidRPr="003D2E02">
        <w:rPr>
          <w:rFonts w:ascii="Times New Roman" w:eastAsia="仿宋_GB2312" w:hAnsi="Times New Roman" w:hint="eastAsia"/>
          <w:sz w:val="32"/>
          <w:szCs w:val="32"/>
        </w:rPr>
        <w:t>202</w:t>
      </w:r>
      <w:r w:rsidR="00F62303">
        <w:rPr>
          <w:rFonts w:ascii="Times New Roman" w:eastAsia="仿宋_GB2312" w:hAnsi="Times New Roman" w:hint="eastAsia"/>
          <w:sz w:val="32"/>
          <w:szCs w:val="32"/>
        </w:rPr>
        <w:t>4</w:t>
      </w:r>
      <w:r w:rsidRPr="003D2E02">
        <w:rPr>
          <w:rFonts w:ascii="Times New Roman" w:eastAsia="仿宋_GB2312" w:hAnsi="Times New Roman" w:hint="eastAsia"/>
          <w:sz w:val="32"/>
          <w:szCs w:val="32"/>
        </w:rPr>
        <w:t>年</w:t>
      </w:r>
      <w:r>
        <w:rPr>
          <w:rFonts w:ascii="Times New Roman" w:eastAsia="仿宋_GB2312" w:hAnsi="Times New Roman" w:hint="eastAsia"/>
          <w:sz w:val="32"/>
          <w:szCs w:val="32"/>
        </w:rPr>
        <w:t>苏州各基层</w:t>
      </w:r>
      <w:r w:rsidRPr="003D2E02">
        <w:rPr>
          <w:rFonts w:ascii="Times New Roman" w:eastAsia="仿宋_GB2312" w:hAnsi="Times New Roman" w:hint="eastAsia"/>
          <w:sz w:val="32"/>
          <w:szCs w:val="32"/>
        </w:rPr>
        <w:t>法院新收</w:t>
      </w:r>
      <w:r>
        <w:rPr>
          <w:rFonts w:ascii="Times New Roman" w:eastAsia="仿宋_GB2312" w:hAnsi="Times New Roman" w:hint="eastAsia"/>
          <w:sz w:val="32"/>
          <w:szCs w:val="32"/>
        </w:rPr>
        <w:t>一审</w:t>
      </w:r>
      <w:r w:rsidRPr="003D2E02">
        <w:rPr>
          <w:rFonts w:ascii="Times New Roman" w:eastAsia="仿宋_GB2312" w:hAnsi="Times New Roman" w:hint="eastAsia"/>
          <w:sz w:val="32"/>
          <w:szCs w:val="32"/>
        </w:rPr>
        <w:t>物业纠纷案件都</w:t>
      </w:r>
      <w:r w:rsidR="00F62303">
        <w:rPr>
          <w:rFonts w:ascii="Times New Roman" w:eastAsia="仿宋_GB2312" w:hAnsi="Times New Roman" w:hint="eastAsia"/>
          <w:sz w:val="32"/>
          <w:szCs w:val="32"/>
        </w:rPr>
        <w:t>明显</w:t>
      </w:r>
      <w:r w:rsidRPr="003D2E02">
        <w:rPr>
          <w:rFonts w:ascii="Times New Roman" w:eastAsia="仿宋_GB2312" w:hAnsi="Times New Roman" w:hint="eastAsia"/>
          <w:sz w:val="32"/>
          <w:szCs w:val="32"/>
        </w:rPr>
        <w:t>有所下降，</w:t>
      </w:r>
      <w:r>
        <w:rPr>
          <w:rFonts w:ascii="Times New Roman" w:eastAsia="仿宋_GB2312" w:hAnsi="Times New Roman" w:hint="eastAsia"/>
          <w:sz w:val="32"/>
          <w:szCs w:val="32"/>
        </w:rPr>
        <w:t>202</w:t>
      </w:r>
      <w:r w:rsidR="00F62303">
        <w:rPr>
          <w:rFonts w:ascii="Times New Roman" w:eastAsia="仿宋_GB2312" w:hAnsi="Times New Roman" w:hint="eastAsia"/>
          <w:sz w:val="32"/>
          <w:szCs w:val="32"/>
        </w:rPr>
        <w:t>4</w:t>
      </w:r>
      <w:r>
        <w:rPr>
          <w:rFonts w:ascii="Times New Roman" w:eastAsia="仿宋_GB2312" w:hAnsi="Times New Roman" w:hint="eastAsia"/>
          <w:sz w:val="32"/>
          <w:szCs w:val="32"/>
        </w:rPr>
        <w:t>年新收一审案件数</w:t>
      </w:r>
      <w:r w:rsidR="00F62303">
        <w:rPr>
          <w:rFonts w:ascii="Times New Roman" w:eastAsia="仿宋_GB2312" w:hAnsi="Times New Roman" w:hint="eastAsia"/>
          <w:sz w:val="32"/>
          <w:szCs w:val="32"/>
        </w:rPr>
        <w:t>1694</w:t>
      </w:r>
      <w:r>
        <w:rPr>
          <w:rFonts w:ascii="Times New Roman" w:eastAsia="仿宋_GB2312" w:hAnsi="Times New Roman" w:hint="eastAsia"/>
          <w:sz w:val="32"/>
          <w:szCs w:val="32"/>
        </w:rPr>
        <w:t>件，同比下降</w:t>
      </w:r>
      <w:r w:rsidR="00F62303">
        <w:rPr>
          <w:rFonts w:ascii="Times New Roman" w:eastAsia="仿宋_GB2312" w:hAnsi="Times New Roman" w:hint="eastAsia"/>
          <w:sz w:val="32"/>
          <w:szCs w:val="32"/>
        </w:rPr>
        <w:t>53.9</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Pr="003D2E02">
        <w:rPr>
          <w:rFonts w:ascii="Times New Roman" w:eastAsia="仿宋_GB2312" w:hAnsi="Times New Roman" w:hint="eastAsia"/>
          <w:sz w:val="32"/>
          <w:szCs w:val="32"/>
        </w:rPr>
        <w:t>其中</w:t>
      </w:r>
      <w:r w:rsidR="00F62303">
        <w:rPr>
          <w:rFonts w:ascii="Times New Roman" w:eastAsia="仿宋_GB2312" w:hAnsi="Times New Roman" w:hint="eastAsia"/>
          <w:sz w:val="32"/>
          <w:szCs w:val="32"/>
        </w:rPr>
        <w:t>常熟</w:t>
      </w:r>
      <w:r w:rsidRPr="003D2E02">
        <w:rPr>
          <w:rFonts w:ascii="Times New Roman" w:eastAsia="仿宋_GB2312" w:hAnsi="Times New Roman" w:hint="eastAsia"/>
          <w:sz w:val="32"/>
          <w:szCs w:val="32"/>
        </w:rPr>
        <w:t>法院、</w:t>
      </w:r>
      <w:r w:rsidR="00F62303">
        <w:rPr>
          <w:rFonts w:ascii="Times New Roman" w:eastAsia="仿宋_GB2312" w:hAnsi="Times New Roman" w:hint="eastAsia"/>
          <w:sz w:val="32"/>
          <w:szCs w:val="32"/>
        </w:rPr>
        <w:t>吴江</w:t>
      </w:r>
      <w:r w:rsidRPr="003D2E02">
        <w:rPr>
          <w:rFonts w:ascii="Times New Roman" w:eastAsia="仿宋_GB2312" w:hAnsi="Times New Roman" w:hint="eastAsia"/>
          <w:sz w:val="32"/>
          <w:szCs w:val="32"/>
        </w:rPr>
        <w:t>法院新收物业纠纷案件数量下降幅度较大，分别为</w:t>
      </w:r>
      <w:r w:rsidR="00F62303">
        <w:rPr>
          <w:rFonts w:ascii="Times New Roman" w:eastAsia="仿宋_GB2312" w:hAnsi="Times New Roman" w:hint="eastAsia"/>
          <w:sz w:val="32"/>
          <w:szCs w:val="32"/>
        </w:rPr>
        <w:t>92.6</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w:t>
      </w:r>
      <w:r w:rsidR="00F62303">
        <w:rPr>
          <w:rFonts w:ascii="Times New Roman" w:eastAsia="仿宋_GB2312" w:hAnsi="Times New Roman" w:hint="eastAsia"/>
          <w:sz w:val="32"/>
          <w:szCs w:val="32"/>
        </w:rPr>
        <w:t>90.1</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w:t>
      </w:r>
      <w:r w:rsidR="00F62303">
        <w:rPr>
          <w:rFonts w:ascii="Times New Roman" w:eastAsia="仿宋_GB2312" w:hAnsi="Times New Roman" w:hint="eastAsia"/>
          <w:sz w:val="32"/>
          <w:szCs w:val="32"/>
        </w:rPr>
        <w:t>昆山</w:t>
      </w:r>
      <w:r w:rsidRPr="003D2E02">
        <w:rPr>
          <w:rFonts w:ascii="Times New Roman" w:eastAsia="仿宋_GB2312" w:hAnsi="Times New Roman" w:hint="eastAsia"/>
          <w:sz w:val="32"/>
          <w:szCs w:val="32"/>
        </w:rPr>
        <w:t>法院案件数量下降最多，为</w:t>
      </w:r>
      <w:r w:rsidR="00F62303">
        <w:rPr>
          <w:rFonts w:ascii="Times New Roman" w:eastAsia="仿宋_GB2312" w:hAnsi="Times New Roman" w:hint="eastAsia"/>
          <w:sz w:val="32"/>
          <w:szCs w:val="32"/>
        </w:rPr>
        <w:t>2070</w:t>
      </w:r>
      <w:r w:rsidRPr="003D2E02">
        <w:rPr>
          <w:rFonts w:ascii="Times New Roman" w:eastAsia="仿宋_GB2312" w:hAnsi="Times New Roman" w:hint="eastAsia"/>
          <w:sz w:val="32"/>
          <w:szCs w:val="32"/>
        </w:rPr>
        <w:t>件。</w:t>
      </w:r>
      <w:r w:rsidR="00F62303">
        <w:rPr>
          <w:rFonts w:ascii="Times New Roman" w:eastAsia="仿宋_GB2312" w:hAnsi="Times New Roman" w:hint="eastAsia"/>
          <w:sz w:val="32"/>
          <w:szCs w:val="32"/>
        </w:rPr>
        <w:t>仅</w:t>
      </w:r>
      <w:r w:rsidRPr="003D2E02">
        <w:rPr>
          <w:rFonts w:ascii="Times New Roman" w:eastAsia="仿宋_GB2312" w:hAnsi="Times New Roman" w:hint="eastAsia"/>
          <w:sz w:val="32"/>
          <w:szCs w:val="32"/>
        </w:rPr>
        <w:t>张家港</w:t>
      </w:r>
      <w:r w:rsidR="00F62303">
        <w:rPr>
          <w:rFonts w:ascii="Times New Roman" w:eastAsia="仿宋_GB2312" w:hAnsi="Times New Roman" w:hint="eastAsia"/>
          <w:sz w:val="32"/>
          <w:szCs w:val="32"/>
        </w:rPr>
        <w:t>、相城</w:t>
      </w:r>
      <w:r w:rsidR="00F62303">
        <w:rPr>
          <w:rFonts w:ascii="Times New Roman" w:eastAsia="仿宋_GB2312" w:hAnsi="Times New Roman" w:hint="eastAsia"/>
          <w:sz w:val="32"/>
          <w:szCs w:val="32"/>
        </w:rPr>
        <w:t>2</w:t>
      </w:r>
      <w:r w:rsidRPr="003D2E02">
        <w:rPr>
          <w:rFonts w:ascii="Times New Roman" w:eastAsia="仿宋_GB2312" w:hAnsi="Times New Roman" w:hint="eastAsia"/>
          <w:sz w:val="32"/>
          <w:szCs w:val="32"/>
        </w:rPr>
        <w:t>家法院案件收案数量有小幅度上升。</w:t>
      </w:r>
    </w:p>
    <w:p w:rsidR="00671B88" w:rsidRPr="0017421D"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从地区分布上来看，以</w:t>
      </w:r>
      <w:r w:rsidRPr="003D2E02">
        <w:rPr>
          <w:rFonts w:ascii="Times New Roman" w:eastAsia="仿宋_GB2312" w:hAnsi="Times New Roman" w:hint="eastAsia"/>
          <w:sz w:val="32"/>
          <w:szCs w:val="32"/>
        </w:rPr>
        <w:t>202</w:t>
      </w:r>
      <w:r w:rsidR="009E0164">
        <w:rPr>
          <w:rFonts w:ascii="Times New Roman" w:eastAsia="仿宋_GB2312" w:hAnsi="Times New Roman" w:hint="eastAsia"/>
          <w:sz w:val="32"/>
          <w:szCs w:val="32"/>
        </w:rPr>
        <w:t>4</w:t>
      </w:r>
      <w:r w:rsidRPr="003D2E02">
        <w:rPr>
          <w:rFonts w:ascii="Times New Roman" w:eastAsia="仿宋_GB2312" w:hAnsi="Times New Roman" w:hint="eastAsia"/>
          <w:sz w:val="32"/>
          <w:szCs w:val="32"/>
        </w:rPr>
        <w:t>年为例，全市基层法院新收物业纠纷案件数为</w:t>
      </w:r>
      <w:r w:rsidR="009E0164">
        <w:rPr>
          <w:rFonts w:ascii="Times New Roman" w:eastAsia="仿宋_GB2312" w:hAnsi="Times New Roman" w:hint="eastAsia"/>
          <w:sz w:val="32"/>
          <w:szCs w:val="32"/>
        </w:rPr>
        <w:t>1694</w:t>
      </w:r>
      <w:r w:rsidRPr="003D2E02">
        <w:rPr>
          <w:rFonts w:ascii="Times New Roman" w:eastAsia="仿宋_GB2312" w:hAnsi="Times New Roman" w:hint="eastAsia"/>
          <w:sz w:val="32"/>
          <w:szCs w:val="32"/>
        </w:rPr>
        <w:t>件，其中昆山市人民法院</w:t>
      </w:r>
      <w:r w:rsidR="009E0164">
        <w:rPr>
          <w:rFonts w:ascii="Times New Roman" w:eastAsia="仿宋_GB2312" w:hAnsi="Times New Roman" w:hint="eastAsia"/>
          <w:sz w:val="32"/>
          <w:szCs w:val="32"/>
        </w:rPr>
        <w:t>454</w:t>
      </w:r>
      <w:r w:rsidRPr="003D2E02">
        <w:rPr>
          <w:rFonts w:ascii="Times New Roman" w:eastAsia="仿宋_GB2312" w:hAnsi="Times New Roman" w:hint="eastAsia"/>
          <w:sz w:val="32"/>
          <w:szCs w:val="32"/>
        </w:rPr>
        <w:t>件，占比</w:t>
      </w:r>
      <w:r w:rsidRPr="003D2E02">
        <w:rPr>
          <w:rFonts w:ascii="Times New Roman" w:eastAsia="仿宋_GB2312" w:hAnsi="Times New Roman" w:hint="eastAsia"/>
          <w:sz w:val="32"/>
          <w:szCs w:val="32"/>
        </w:rPr>
        <w:t>26.</w:t>
      </w:r>
      <w:r w:rsidR="009E0164">
        <w:rPr>
          <w:rFonts w:ascii="Times New Roman" w:eastAsia="仿宋_GB2312" w:hAnsi="Times New Roman" w:hint="eastAsia"/>
          <w:sz w:val="32"/>
          <w:szCs w:val="32"/>
        </w:rPr>
        <w:t>8</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w:t>
      </w:r>
      <w:r w:rsidR="009E0164">
        <w:rPr>
          <w:rFonts w:ascii="Times New Roman" w:eastAsia="仿宋_GB2312" w:hAnsi="Times New Roman" w:hint="eastAsia"/>
          <w:sz w:val="32"/>
          <w:szCs w:val="32"/>
        </w:rPr>
        <w:t>张家港、昆山</w:t>
      </w:r>
      <w:r w:rsidR="009E0164">
        <w:rPr>
          <w:rFonts w:ascii="Times New Roman" w:eastAsia="仿宋_GB2312" w:hAnsi="Times New Roman" w:hint="eastAsia"/>
          <w:sz w:val="32"/>
          <w:szCs w:val="32"/>
        </w:rPr>
        <w:t>2</w:t>
      </w:r>
      <w:r w:rsidRPr="003D2E02">
        <w:rPr>
          <w:rFonts w:ascii="Times New Roman" w:eastAsia="仿宋_GB2312" w:hAnsi="Times New Roman" w:hint="eastAsia"/>
          <w:sz w:val="32"/>
          <w:szCs w:val="32"/>
        </w:rPr>
        <w:t>家法院新收案件数量在</w:t>
      </w:r>
      <w:r w:rsidR="009E0164">
        <w:rPr>
          <w:rFonts w:ascii="Times New Roman" w:eastAsia="仿宋_GB2312" w:hAnsi="Times New Roman" w:hint="eastAsia"/>
          <w:sz w:val="32"/>
          <w:szCs w:val="32"/>
        </w:rPr>
        <w:t>2</w:t>
      </w:r>
      <w:r w:rsidRPr="003D2E02">
        <w:rPr>
          <w:rFonts w:ascii="Times New Roman" w:eastAsia="仿宋_GB2312" w:hAnsi="Times New Roman" w:hint="eastAsia"/>
          <w:sz w:val="32"/>
          <w:szCs w:val="32"/>
        </w:rPr>
        <w:t>00</w:t>
      </w:r>
      <w:r w:rsidRPr="003D2E02">
        <w:rPr>
          <w:rFonts w:ascii="Times New Roman" w:eastAsia="仿宋_GB2312" w:hAnsi="Times New Roman" w:hint="eastAsia"/>
          <w:sz w:val="32"/>
          <w:szCs w:val="32"/>
        </w:rPr>
        <w:t>件以上，吴江、</w:t>
      </w:r>
      <w:r w:rsidR="009E0164">
        <w:rPr>
          <w:rFonts w:ascii="Times New Roman" w:eastAsia="仿宋_GB2312" w:hAnsi="Times New Roman" w:hint="eastAsia"/>
          <w:sz w:val="32"/>
          <w:szCs w:val="32"/>
        </w:rPr>
        <w:t>姑苏、</w:t>
      </w:r>
      <w:r w:rsidRPr="003D2E02">
        <w:rPr>
          <w:rFonts w:ascii="Times New Roman" w:eastAsia="仿宋_GB2312" w:hAnsi="Times New Roman" w:hint="eastAsia"/>
          <w:sz w:val="32"/>
          <w:szCs w:val="32"/>
        </w:rPr>
        <w:t>园区</w:t>
      </w:r>
      <w:r w:rsidRPr="003D2E02">
        <w:rPr>
          <w:rFonts w:ascii="Times New Roman" w:eastAsia="仿宋_GB2312" w:hAnsi="Times New Roman" w:hint="eastAsia"/>
          <w:sz w:val="32"/>
          <w:szCs w:val="32"/>
        </w:rPr>
        <w:t>3</w:t>
      </w:r>
      <w:r w:rsidRPr="003D2E02">
        <w:rPr>
          <w:rFonts w:ascii="Times New Roman" w:eastAsia="仿宋_GB2312" w:hAnsi="Times New Roman" w:hint="eastAsia"/>
          <w:sz w:val="32"/>
          <w:szCs w:val="32"/>
        </w:rPr>
        <w:t>家法院新收案件数量在</w:t>
      </w:r>
      <w:r w:rsidRPr="003D2E02">
        <w:rPr>
          <w:rFonts w:ascii="Times New Roman" w:eastAsia="仿宋_GB2312" w:hAnsi="Times New Roman" w:hint="eastAsia"/>
          <w:sz w:val="32"/>
          <w:szCs w:val="32"/>
        </w:rPr>
        <w:t>100</w:t>
      </w:r>
      <w:r w:rsidRPr="003D2E02">
        <w:rPr>
          <w:rFonts w:ascii="Times New Roman" w:eastAsia="仿宋_GB2312" w:hAnsi="Times New Roman" w:hint="eastAsia"/>
          <w:sz w:val="32"/>
          <w:szCs w:val="32"/>
        </w:rPr>
        <w:t>件</w:t>
      </w:r>
      <w:r w:rsidR="009E0164">
        <w:rPr>
          <w:rFonts w:ascii="Times New Roman" w:eastAsia="仿宋_GB2312" w:hAnsi="Times New Roman" w:hint="eastAsia"/>
          <w:sz w:val="32"/>
          <w:szCs w:val="32"/>
        </w:rPr>
        <w:t>以下</w:t>
      </w:r>
      <w:r w:rsidRPr="003D2E02">
        <w:rPr>
          <w:rFonts w:ascii="Times New Roman" w:eastAsia="仿宋_GB2312" w:hAnsi="Times New Roman" w:hint="eastAsia"/>
          <w:sz w:val="32"/>
          <w:szCs w:val="32"/>
        </w:rPr>
        <w:t>。</w:t>
      </w:r>
    </w:p>
    <w:p w:rsidR="00A875E0" w:rsidRDefault="00A875E0" w:rsidP="00FC1369">
      <w:pPr>
        <w:ind w:firstLineChars="200" w:firstLine="560"/>
        <w:jc w:val="center"/>
        <w:rPr>
          <w:rFonts w:ascii="楷体" w:eastAsia="楷体" w:hAnsi="楷体"/>
          <w:sz w:val="28"/>
          <w:szCs w:val="28"/>
        </w:rPr>
      </w:pPr>
      <w:r>
        <w:rPr>
          <w:rFonts w:ascii="楷体" w:eastAsia="楷体" w:hAnsi="楷体" w:hint="eastAsia"/>
          <w:sz w:val="28"/>
          <w:szCs w:val="28"/>
        </w:rPr>
        <w:t>表2：苏州法院2020-202</w:t>
      </w:r>
      <w:r w:rsidR="009E0164">
        <w:rPr>
          <w:rFonts w:ascii="楷体" w:eastAsia="楷体" w:hAnsi="楷体" w:hint="eastAsia"/>
          <w:sz w:val="28"/>
          <w:szCs w:val="28"/>
        </w:rPr>
        <w:t>4</w:t>
      </w:r>
      <w:r>
        <w:rPr>
          <w:rFonts w:ascii="楷体" w:eastAsia="楷体" w:hAnsi="楷体" w:hint="eastAsia"/>
          <w:sz w:val="28"/>
          <w:szCs w:val="28"/>
        </w:rPr>
        <w:t>年新收一审物业纠纷案件情况</w:t>
      </w:r>
    </w:p>
    <w:tbl>
      <w:tblPr>
        <w:tblStyle w:val="-1"/>
        <w:tblW w:w="0" w:type="auto"/>
        <w:tblInd w:w="392" w:type="dxa"/>
        <w:tblLook w:val="04A0" w:firstRow="1" w:lastRow="0" w:firstColumn="1" w:lastColumn="0" w:noHBand="0" w:noVBand="1"/>
      </w:tblPr>
      <w:tblGrid>
        <w:gridCol w:w="1166"/>
        <w:gridCol w:w="1537"/>
        <w:gridCol w:w="1536"/>
        <w:gridCol w:w="1537"/>
        <w:gridCol w:w="1496"/>
        <w:gridCol w:w="1396"/>
      </w:tblGrid>
      <w:tr w:rsidR="00FC1369" w:rsidTr="00FC1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b w:val="0"/>
                <w:bCs w:val="0"/>
                <w:color w:val="4F81BD" w:themeColor="accent1"/>
                <w:sz w:val="28"/>
                <w:szCs w:val="28"/>
              </w:rPr>
            </w:pPr>
            <w:r>
              <w:rPr>
                <w:rFonts w:ascii="Times New Roman" w:eastAsia="仿宋_GB2312" w:hAnsi="Times New Roman" w:hint="eastAsia"/>
                <w:color w:val="4F81BD" w:themeColor="accent1"/>
                <w:sz w:val="28"/>
                <w:szCs w:val="28"/>
              </w:rPr>
              <w:lastRenderedPageBreak/>
              <w:t>法</w:t>
            </w:r>
            <w:r>
              <w:rPr>
                <w:rFonts w:ascii="Times New Roman" w:eastAsia="仿宋_GB2312" w:hAnsi="Times New Roman" w:hint="eastAsia"/>
                <w:color w:val="4F81BD" w:themeColor="accent1"/>
                <w:sz w:val="28"/>
                <w:szCs w:val="28"/>
              </w:rPr>
              <w:t xml:space="preserve">  </w:t>
            </w:r>
            <w:r>
              <w:rPr>
                <w:rFonts w:ascii="Times New Roman" w:eastAsia="仿宋_GB2312" w:hAnsi="Times New Roman" w:hint="eastAsia"/>
                <w:color w:val="4F81BD" w:themeColor="accent1"/>
                <w:sz w:val="28"/>
                <w:szCs w:val="28"/>
              </w:rPr>
              <w:t>院</w:t>
            </w:r>
          </w:p>
        </w:tc>
        <w:tc>
          <w:tcPr>
            <w:tcW w:w="1537" w:type="dxa"/>
          </w:tcPr>
          <w:p w:rsidR="00FC1369" w:rsidRDefault="00FC1369" w:rsidP="00587825">
            <w:pPr>
              <w:ind w:firstLine="562"/>
              <w:jc w:val="center"/>
              <w:cnfStyle w:val="100000000000" w:firstRow="1" w:lastRow="0" w:firstColumn="0" w:lastColumn="0" w:oddVBand="0" w:evenVBand="0" w:oddHBand="0" w:evenHBand="0" w:firstRowFirstColumn="0" w:firstRowLastColumn="0" w:lastRowFirstColumn="0" w:lastRowLastColumn="0"/>
              <w:rPr>
                <w:rFonts w:ascii="Times New Roman" w:eastAsia="仿宋_GB2312" w:hAnsi="Times New Roman"/>
                <w:b w:val="0"/>
                <w:bCs w:val="0"/>
                <w:color w:val="4F81BD" w:themeColor="accent1"/>
                <w:sz w:val="28"/>
                <w:szCs w:val="28"/>
              </w:rPr>
            </w:pPr>
            <w:r>
              <w:rPr>
                <w:rFonts w:ascii="Times New Roman" w:eastAsia="仿宋_GB2312" w:hAnsi="Times New Roman" w:hint="eastAsia"/>
                <w:color w:val="4F81BD" w:themeColor="accent1"/>
                <w:sz w:val="28"/>
                <w:szCs w:val="28"/>
              </w:rPr>
              <w:t>2020</w:t>
            </w:r>
          </w:p>
        </w:tc>
        <w:tc>
          <w:tcPr>
            <w:tcW w:w="1536" w:type="dxa"/>
          </w:tcPr>
          <w:p w:rsidR="00FC1369" w:rsidRDefault="00FC1369" w:rsidP="00587825">
            <w:pPr>
              <w:ind w:firstLine="562"/>
              <w:jc w:val="center"/>
              <w:cnfStyle w:val="100000000000" w:firstRow="1" w:lastRow="0" w:firstColumn="0" w:lastColumn="0" w:oddVBand="0" w:evenVBand="0" w:oddHBand="0" w:evenHBand="0" w:firstRowFirstColumn="0" w:firstRowLastColumn="0" w:lastRowFirstColumn="0" w:lastRowLastColumn="0"/>
              <w:rPr>
                <w:rFonts w:ascii="Times New Roman" w:eastAsia="仿宋_GB2312" w:hAnsi="Times New Roman"/>
                <w:b w:val="0"/>
                <w:bCs w:val="0"/>
                <w:color w:val="4F81BD" w:themeColor="accent1"/>
                <w:sz w:val="28"/>
                <w:szCs w:val="28"/>
              </w:rPr>
            </w:pPr>
            <w:r>
              <w:rPr>
                <w:rFonts w:ascii="Times New Roman" w:eastAsia="仿宋_GB2312" w:hAnsi="Times New Roman" w:hint="eastAsia"/>
                <w:color w:val="4F81BD" w:themeColor="accent1"/>
                <w:sz w:val="28"/>
                <w:szCs w:val="28"/>
              </w:rPr>
              <w:t>2021</w:t>
            </w:r>
          </w:p>
        </w:tc>
        <w:tc>
          <w:tcPr>
            <w:tcW w:w="1537" w:type="dxa"/>
          </w:tcPr>
          <w:p w:rsidR="00FC1369" w:rsidRDefault="00FC1369" w:rsidP="00587825">
            <w:pPr>
              <w:ind w:firstLine="562"/>
              <w:jc w:val="center"/>
              <w:cnfStyle w:val="100000000000" w:firstRow="1" w:lastRow="0" w:firstColumn="0" w:lastColumn="0" w:oddVBand="0" w:evenVBand="0" w:oddHBand="0" w:evenHBand="0" w:firstRowFirstColumn="0" w:firstRowLastColumn="0" w:lastRowFirstColumn="0" w:lastRowLastColumn="0"/>
              <w:rPr>
                <w:rFonts w:ascii="Times New Roman" w:eastAsia="仿宋_GB2312" w:hAnsi="Times New Roman"/>
                <w:b w:val="0"/>
                <w:bCs w:val="0"/>
                <w:color w:val="4F81BD" w:themeColor="accent1"/>
                <w:sz w:val="28"/>
                <w:szCs w:val="28"/>
              </w:rPr>
            </w:pPr>
            <w:r>
              <w:rPr>
                <w:rFonts w:ascii="Times New Roman" w:eastAsia="仿宋_GB2312" w:hAnsi="Times New Roman" w:hint="eastAsia"/>
                <w:color w:val="4F81BD" w:themeColor="accent1"/>
                <w:sz w:val="28"/>
                <w:szCs w:val="28"/>
              </w:rPr>
              <w:t>2022</w:t>
            </w:r>
          </w:p>
        </w:tc>
        <w:tc>
          <w:tcPr>
            <w:tcW w:w="1496" w:type="dxa"/>
          </w:tcPr>
          <w:p w:rsidR="00FC1369" w:rsidRDefault="00FC1369" w:rsidP="00587825">
            <w:pPr>
              <w:ind w:firstLine="562"/>
              <w:jc w:val="center"/>
              <w:cnfStyle w:val="100000000000" w:firstRow="1" w:lastRow="0" w:firstColumn="0" w:lastColumn="0" w:oddVBand="0" w:evenVBand="0" w:oddHBand="0" w:evenHBand="0" w:firstRowFirstColumn="0" w:firstRowLastColumn="0" w:lastRowFirstColumn="0" w:lastRowLastColumn="0"/>
              <w:rPr>
                <w:rFonts w:ascii="Times New Roman" w:eastAsia="仿宋_GB2312" w:hAnsi="Times New Roman"/>
                <w:b w:val="0"/>
                <w:bCs w:val="0"/>
                <w:color w:val="4F81BD" w:themeColor="accent1"/>
                <w:sz w:val="28"/>
                <w:szCs w:val="28"/>
              </w:rPr>
            </w:pPr>
            <w:r>
              <w:rPr>
                <w:rFonts w:ascii="Times New Roman" w:eastAsia="仿宋_GB2312" w:hAnsi="Times New Roman" w:hint="eastAsia"/>
                <w:color w:val="4F81BD" w:themeColor="accent1"/>
                <w:sz w:val="28"/>
                <w:szCs w:val="28"/>
              </w:rPr>
              <w:t>2023</w:t>
            </w:r>
          </w:p>
        </w:tc>
        <w:tc>
          <w:tcPr>
            <w:tcW w:w="1396" w:type="dxa"/>
          </w:tcPr>
          <w:p w:rsidR="00FC1369" w:rsidRPr="00F62303" w:rsidRDefault="00FC1369" w:rsidP="00587825">
            <w:pPr>
              <w:ind w:firstLine="562"/>
              <w:jc w:val="center"/>
              <w:cnfStyle w:val="100000000000" w:firstRow="1"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2024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Times New Roman" w:eastAsia="仿宋_GB2312" w:hAnsi="Times New Roman"/>
                <w:color w:val="4F81BD" w:themeColor="accent1"/>
                <w:sz w:val="28"/>
                <w:szCs w:val="28"/>
              </w:rPr>
            </w:pPr>
            <w:r>
              <w:rPr>
                <w:rFonts w:ascii="Times New Roman" w:eastAsia="仿宋_GB2312" w:hAnsi="Times New Roman" w:hint="eastAsia"/>
                <w:b w:val="0"/>
                <w:color w:val="4F81BD" w:themeColor="accent1"/>
                <w:sz w:val="28"/>
                <w:szCs w:val="28"/>
              </w:rPr>
              <w:t>张家港</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88</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172</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314</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255</w:t>
            </w:r>
          </w:p>
        </w:tc>
        <w:tc>
          <w:tcPr>
            <w:tcW w:w="1396" w:type="dxa"/>
            <w:tcBorders>
              <w:right w:val="nil"/>
            </w:tcBorders>
            <w:shd w:val="clear" w:color="auto" w:fill="D3DFEE" w:themeFill="accent1" w:themeFillTint="3F"/>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294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color w:val="4F81BD" w:themeColor="accent1"/>
                <w:sz w:val="28"/>
                <w:szCs w:val="28"/>
              </w:rPr>
            </w:pPr>
            <w:r>
              <w:rPr>
                <w:rFonts w:ascii="Times New Roman" w:eastAsia="仿宋_GB2312" w:hAnsi="Times New Roman" w:hint="eastAsia"/>
                <w:b w:val="0"/>
                <w:color w:val="4F81BD" w:themeColor="accent1"/>
                <w:sz w:val="28"/>
                <w:szCs w:val="28"/>
              </w:rPr>
              <w:t>常</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熟</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1696</w:t>
            </w:r>
          </w:p>
        </w:tc>
        <w:tc>
          <w:tcPr>
            <w:tcW w:w="153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1580</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719</w:t>
            </w:r>
          </w:p>
        </w:tc>
        <w:tc>
          <w:tcPr>
            <w:tcW w:w="149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324</w:t>
            </w:r>
          </w:p>
        </w:tc>
        <w:tc>
          <w:tcPr>
            <w:tcW w:w="1396" w:type="dxa"/>
          </w:tcPr>
          <w:p w:rsidR="00FC1369" w:rsidRPr="00FC1369"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FF0000"/>
                <w:sz w:val="28"/>
                <w:szCs w:val="28"/>
              </w:rPr>
            </w:pPr>
            <w:r w:rsidRPr="00F62303">
              <w:rPr>
                <w:rFonts w:ascii="Times New Roman" w:eastAsia="仿宋_GB2312" w:hAnsi="Times New Roman" w:hint="eastAsia"/>
                <w:color w:val="4F81BD" w:themeColor="accent1"/>
                <w:sz w:val="28"/>
                <w:szCs w:val="28"/>
              </w:rPr>
              <w:t>124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太</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仓</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217</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317</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277</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359</w:t>
            </w:r>
          </w:p>
        </w:tc>
        <w:tc>
          <w:tcPr>
            <w:tcW w:w="1396" w:type="dxa"/>
            <w:tcBorders>
              <w:right w:val="nil"/>
            </w:tcBorders>
            <w:shd w:val="clear" w:color="auto" w:fill="D3DFEE" w:themeFill="accent1" w:themeFillTint="3F"/>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117</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昆</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山</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2524</w:t>
            </w:r>
          </w:p>
        </w:tc>
        <w:tc>
          <w:tcPr>
            <w:tcW w:w="153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1243</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1319</w:t>
            </w:r>
          </w:p>
        </w:tc>
        <w:tc>
          <w:tcPr>
            <w:tcW w:w="149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974</w:t>
            </w:r>
          </w:p>
        </w:tc>
        <w:tc>
          <w:tcPr>
            <w:tcW w:w="1396" w:type="dxa"/>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454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Times New Roman" w:eastAsia="仿宋_GB2312" w:hAnsi="Times New Roman"/>
                <w:bCs w:val="0"/>
                <w:color w:val="4F81BD" w:themeColor="accent1"/>
                <w:sz w:val="24"/>
                <w:szCs w:val="24"/>
              </w:rPr>
            </w:pPr>
            <w:r>
              <w:rPr>
                <w:rFonts w:ascii="Times New Roman" w:eastAsia="仿宋_GB2312" w:hAnsi="Times New Roman" w:hint="eastAsia"/>
                <w:b w:val="0"/>
                <w:color w:val="4F81BD" w:themeColor="accent1"/>
                <w:sz w:val="28"/>
                <w:szCs w:val="28"/>
              </w:rPr>
              <w:t>吴</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中</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492</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311</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357</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404</w:t>
            </w:r>
          </w:p>
        </w:tc>
        <w:tc>
          <w:tcPr>
            <w:tcW w:w="1396" w:type="dxa"/>
            <w:tcBorders>
              <w:right w:val="nil"/>
            </w:tcBorders>
            <w:shd w:val="clear" w:color="auto" w:fill="D3DFEE" w:themeFill="accent1" w:themeFillTint="3F"/>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187</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吴</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江</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956</w:t>
            </w:r>
          </w:p>
        </w:tc>
        <w:tc>
          <w:tcPr>
            <w:tcW w:w="153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719</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463</w:t>
            </w:r>
          </w:p>
        </w:tc>
        <w:tc>
          <w:tcPr>
            <w:tcW w:w="149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176</w:t>
            </w:r>
          </w:p>
        </w:tc>
        <w:tc>
          <w:tcPr>
            <w:tcW w:w="1396" w:type="dxa"/>
          </w:tcPr>
          <w:p w:rsidR="00FC1369" w:rsidRPr="00FC1369"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FF0000"/>
                <w:sz w:val="28"/>
                <w:szCs w:val="28"/>
              </w:rPr>
            </w:pPr>
            <w:r w:rsidRPr="00F62303">
              <w:rPr>
                <w:rFonts w:ascii="Times New Roman" w:eastAsia="仿宋_GB2312" w:hAnsi="Times New Roman" w:hint="eastAsia"/>
                <w:color w:val="4F81BD" w:themeColor="accent1"/>
                <w:sz w:val="28"/>
                <w:szCs w:val="28"/>
              </w:rPr>
              <w:t>94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姑</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苏</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137</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279</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380</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432</w:t>
            </w:r>
          </w:p>
        </w:tc>
        <w:tc>
          <w:tcPr>
            <w:tcW w:w="1396" w:type="dxa"/>
            <w:tcBorders>
              <w:right w:val="nil"/>
            </w:tcBorders>
            <w:shd w:val="clear" w:color="auto" w:fill="D3DFEE" w:themeFill="accent1" w:themeFillTint="3F"/>
          </w:tcPr>
          <w:p w:rsidR="00FC1369" w:rsidRPr="00FC1369"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FF0000"/>
                <w:sz w:val="28"/>
                <w:szCs w:val="28"/>
              </w:rPr>
            </w:pPr>
            <w:r w:rsidRPr="00F62303">
              <w:rPr>
                <w:rFonts w:ascii="Times New Roman" w:eastAsia="仿宋_GB2312" w:hAnsi="Times New Roman" w:hint="eastAsia"/>
                <w:color w:val="4F81BD" w:themeColor="accent1"/>
                <w:sz w:val="28"/>
                <w:szCs w:val="28"/>
              </w:rPr>
              <w:t>95</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相</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城</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58</w:t>
            </w:r>
          </w:p>
        </w:tc>
        <w:tc>
          <w:tcPr>
            <w:tcW w:w="153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110</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127</w:t>
            </w:r>
          </w:p>
        </w:tc>
        <w:tc>
          <w:tcPr>
            <w:tcW w:w="149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189</w:t>
            </w:r>
          </w:p>
        </w:tc>
        <w:tc>
          <w:tcPr>
            <w:tcW w:w="1396" w:type="dxa"/>
          </w:tcPr>
          <w:p w:rsidR="00FC1369" w:rsidRPr="00FC1369"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FF0000"/>
                <w:sz w:val="28"/>
                <w:szCs w:val="28"/>
              </w:rPr>
            </w:pPr>
            <w:r w:rsidRPr="00F62303">
              <w:rPr>
                <w:rFonts w:ascii="Times New Roman" w:eastAsia="仿宋_GB2312" w:hAnsi="Times New Roman" w:hint="eastAsia"/>
                <w:color w:val="4F81BD" w:themeColor="accent1"/>
                <w:sz w:val="28"/>
                <w:szCs w:val="28"/>
              </w:rPr>
              <w:t>101</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园</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区</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151</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156</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146</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135</w:t>
            </w:r>
          </w:p>
        </w:tc>
        <w:tc>
          <w:tcPr>
            <w:tcW w:w="1396" w:type="dxa"/>
            <w:tcBorders>
              <w:right w:val="nil"/>
            </w:tcBorders>
            <w:shd w:val="clear" w:color="auto" w:fill="D3DFEE" w:themeFill="accent1" w:themeFillTint="3F"/>
          </w:tcPr>
          <w:p w:rsidR="00FC1369" w:rsidRPr="00FC1369"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FF0000"/>
                <w:sz w:val="28"/>
                <w:szCs w:val="28"/>
              </w:rPr>
            </w:pPr>
            <w:r w:rsidRPr="00F62303">
              <w:rPr>
                <w:rFonts w:ascii="Times New Roman" w:eastAsia="仿宋_GB2312" w:hAnsi="Times New Roman" w:hint="eastAsia"/>
                <w:color w:val="4F81BD" w:themeColor="accent1"/>
                <w:sz w:val="28"/>
                <w:szCs w:val="28"/>
              </w:rPr>
              <w:t>74</w:t>
            </w:r>
          </w:p>
        </w:tc>
      </w:tr>
      <w:tr w:rsidR="00FC1369" w:rsidRPr="00F62303" w:rsidTr="00FC1369">
        <w:tc>
          <w:tcPr>
            <w:cnfStyle w:val="001000000000" w:firstRow="0" w:lastRow="0" w:firstColumn="1" w:lastColumn="0" w:oddVBand="0" w:evenVBand="0" w:oddHBand="0" w:evenHBand="0" w:firstRowFirstColumn="0" w:firstRowLastColumn="0" w:lastRowFirstColumn="0" w:lastRowLastColumn="0"/>
            <w:tcW w:w="1166" w:type="dxa"/>
          </w:tcPr>
          <w:p w:rsidR="00FC1369" w:rsidRDefault="00FC1369" w:rsidP="00587825">
            <w:pPr>
              <w:jc w:val="center"/>
              <w:rPr>
                <w:rFonts w:ascii="Times New Roman" w:eastAsia="仿宋_GB2312" w:hAnsi="Times New Roman"/>
                <w:bCs w:val="0"/>
                <w:color w:val="4F81BD" w:themeColor="accent1"/>
                <w:sz w:val="28"/>
                <w:szCs w:val="28"/>
              </w:rPr>
            </w:pPr>
            <w:r>
              <w:rPr>
                <w:rFonts w:ascii="Times New Roman" w:eastAsia="仿宋_GB2312" w:hAnsi="Times New Roman" w:hint="eastAsia"/>
                <w:b w:val="0"/>
                <w:color w:val="4F81BD" w:themeColor="accent1"/>
                <w:sz w:val="28"/>
                <w:szCs w:val="28"/>
              </w:rPr>
              <w:t>虎</w:t>
            </w:r>
            <w:r>
              <w:rPr>
                <w:rFonts w:ascii="Times New Roman" w:eastAsia="仿宋_GB2312" w:hAnsi="Times New Roman" w:hint="eastAsia"/>
                <w:b w:val="0"/>
                <w:color w:val="4F81BD" w:themeColor="accent1"/>
                <w:sz w:val="28"/>
                <w:szCs w:val="28"/>
              </w:rPr>
              <w:t xml:space="preserve">  </w:t>
            </w:r>
            <w:r>
              <w:rPr>
                <w:rFonts w:ascii="Times New Roman" w:eastAsia="仿宋_GB2312" w:hAnsi="Times New Roman" w:hint="eastAsia"/>
                <w:b w:val="0"/>
                <w:color w:val="4F81BD" w:themeColor="accent1"/>
                <w:sz w:val="28"/>
                <w:szCs w:val="28"/>
              </w:rPr>
              <w:t>丘</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663</w:t>
            </w:r>
          </w:p>
        </w:tc>
        <w:tc>
          <w:tcPr>
            <w:tcW w:w="153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953</w:t>
            </w:r>
          </w:p>
        </w:tc>
        <w:tc>
          <w:tcPr>
            <w:tcW w:w="1537"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360</w:t>
            </w:r>
          </w:p>
        </w:tc>
        <w:tc>
          <w:tcPr>
            <w:tcW w:w="1496" w:type="dxa"/>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427</w:t>
            </w:r>
          </w:p>
        </w:tc>
        <w:tc>
          <w:tcPr>
            <w:tcW w:w="1396" w:type="dxa"/>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154</w:t>
            </w:r>
          </w:p>
        </w:tc>
      </w:tr>
      <w:tr w:rsidR="00FC1369" w:rsidTr="00FC1369">
        <w:tc>
          <w:tcPr>
            <w:cnfStyle w:val="001000000000" w:firstRow="0" w:lastRow="0" w:firstColumn="1" w:lastColumn="0" w:oddVBand="0" w:evenVBand="0" w:oddHBand="0" w:evenHBand="0" w:firstRowFirstColumn="0" w:firstRowLastColumn="0" w:lastRowFirstColumn="0" w:lastRowLastColumn="0"/>
            <w:tcW w:w="1166" w:type="dxa"/>
            <w:tcBorders>
              <w:left w:val="nil"/>
              <w:right w:val="nil"/>
            </w:tcBorders>
            <w:shd w:val="clear" w:color="auto" w:fill="D3DFEE" w:themeFill="accent1" w:themeFillTint="3F"/>
          </w:tcPr>
          <w:p w:rsidR="00FC1369" w:rsidRDefault="00FC1369" w:rsidP="00587825">
            <w:pPr>
              <w:jc w:val="center"/>
              <w:rPr>
                <w:rFonts w:ascii="黑体" w:eastAsia="黑体" w:hAnsi="黑体"/>
                <w:b w:val="0"/>
                <w:bCs w:val="0"/>
                <w:color w:val="4F81BD" w:themeColor="accent1"/>
                <w:sz w:val="28"/>
                <w:szCs w:val="28"/>
              </w:rPr>
            </w:pPr>
            <w:r>
              <w:rPr>
                <w:rFonts w:ascii="黑体" w:eastAsia="黑体" w:hAnsi="黑体" w:hint="eastAsia"/>
                <w:color w:val="4F81BD" w:themeColor="accent1"/>
                <w:sz w:val="28"/>
                <w:szCs w:val="28"/>
              </w:rPr>
              <w:t>合  计</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6982</w:t>
            </w:r>
          </w:p>
        </w:tc>
        <w:tc>
          <w:tcPr>
            <w:tcW w:w="153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5840</w:t>
            </w:r>
          </w:p>
        </w:tc>
        <w:tc>
          <w:tcPr>
            <w:tcW w:w="1537"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4462</w:t>
            </w:r>
          </w:p>
        </w:tc>
        <w:tc>
          <w:tcPr>
            <w:tcW w:w="1496" w:type="dxa"/>
            <w:tcBorders>
              <w:right w:val="nil"/>
            </w:tcBorders>
            <w:shd w:val="clear" w:color="auto" w:fill="D3DFEE" w:themeFill="accent1" w:themeFillTint="3F"/>
          </w:tcPr>
          <w:p w:rsidR="00FC1369" w:rsidRDefault="00FC1369"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Pr>
                <w:rFonts w:ascii="Times New Roman" w:eastAsia="仿宋_GB2312" w:hAnsi="Times New Roman" w:hint="eastAsia"/>
                <w:color w:val="4F81BD" w:themeColor="accent1"/>
                <w:sz w:val="28"/>
                <w:szCs w:val="28"/>
              </w:rPr>
              <w:t>3675</w:t>
            </w:r>
          </w:p>
        </w:tc>
        <w:tc>
          <w:tcPr>
            <w:tcW w:w="1396" w:type="dxa"/>
            <w:tcBorders>
              <w:right w:val="nil"/>
            </w:tcBorders>
            <w:shd w:val="clear" w:color="auto" w:fill="D3DFEE" w:themeFill="accent1" w:themeFillTint="3F"/>
          </w:tcPr>
          <w:p w:rsidR="00FC1369" w:rsidRPr="00F62303" w:rsidRDefault="00F62303" w:rsidP="00587825">
            <w:pPr>
              <w:ind w:firstLine="560"/>
              <w:jc w:val="center"/>
              <w:cnfStyle w:val="000000000000" w:firstRow="0" w:lastRow="0" w:firstColumn="0" w:lastColumn="0" w:oddVBand="0" w:evenVBand="0" w:oddHBand="0" w:evenHBand="0" w:firstRowFirstColumn="0" w:firstRowLastColumn="0" w:lastRowFirstColumn="0" w:lastRowLastColumn="0"/>
              <w:rPr>
                <w:rFonts w:ascii="Times New Roman" w:eastAsia="仿宋_GB2312" w:hAnsi="Times New Roman"/>
                <w:color w:val="4F81BD" w:themeColor="accent1"/>
                <w:sz w:val="28"/>
                <w:szCs w:val="28"/>
              </w:rPr>
            </w:pPr>
            <w:r w:rsidRPr="00F62303">
              <w:rPr>
                <w:rFonts w:ascii="Times New Roman" w:eastAsia="仿宋_GB2312" w:hAnsi="Times New Roman" w:hint="eastAsia"/>
                <w:color w:val="4F81BD" w:themeColor="accent1"/>
                <w:sz w:val="28"/>
                <w:szCs w:val="28"/>
              </w:rPr>
              <w:t>1694</w:t>
            </w:r>
          </w:p>
        </w:tc>
      </w:tr>
    </w:tbl>
    <w:p w:rsidR="00A875E0" w:rsidRPr="001150FE" w:rsidRDefault="00A875E0"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（二）苏州法院物业纠纷源头治理的工作成效</w:t>
      </w:r>
    </w:p>
    <w:p w:rsidR="00A875E0" w:rsidRPr="003D2E02" w:rsidRDefault="00A875E0" w:rsidP="00FC1369">
      <w:pPr>
        <w:spacing w:line="520" w:lineRule="exact"/>
        <w:ind w:firstLineChars="150" w:firstLine="480"/>
        <w:rPr>
          <w:rFonts w:ascii="Times New Roman" w:eastAsia="仿宋_GB2312" w:hAnsi="Times New Roman"/>
          <w:sz w:val="32"/>
          <w:szCs w:val="32"/>
        </w:rPr>
      </w:pPr>
      <w:r w:rsidRPr="003D2E02">
        <w:rPr>
          <w:rFonts w:ascii="Times New Roman" w:eastAsia="仿宋_GB2312" w:hAnsi="Times New Roman" w:hint="eastAsia"/>
          <w:sz w:val="32"/>
          <w:szCs w:val="32"/>
        </w:rPr>
        <w:t>1.</w:t>
      </w:r>
      <w:r w:rsidRPr="003D2E02">
        <w:rPr>
          <w:rFonts w:ascii="Times New Roman" w:eastAsia="仿宋_GB2312" w:hAnsi="Times New Roman" w:hint="eastAsia"/>
          <w:sz w:val="32"/>
          <w:szCs w:val="32"/>
        </w:rPr>
        <w:t>以综合治理为抓手，推动纠纷多元共治</w:t>
      </w:r>
    </w:p>
    <w:p w:rsidR="00A875E0" w:rsidRPr="003D2E02" w:rsidRDefault="00ED1B4E" w:rsidP="00FC1369">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积极争取市委、市委政法委</w:t>
      </w:r>
      <w:r w:rsidR="00A875E0" w:rsidRPr="003D2E02">
        <w:rPr>
          <w:rFonts w:ascii="Times New Roman" w:eastAsia="仿宋_GB2312" w:hAnsi="Times New Roman" w:hint="eastAsia"/>
          <w:sz w:val="32"/>
          <w:szCs w:val="32"/>
        </w:rPr>
        <w:t>的支持，推动物业纠纷治理纳入全市政法惠民实事工作，并定期报告工作推进情况。会同市住建局形成了《关于共同推广物业巡回审判工作机制、深化物业纠纷源头预防化解的意见》，系统推出集源头治理、多元解纷、诉调对接、示范诉讼为一体的</w:t>
      </w:r>
      <w:r w:rsidR="00A875E0" w:rsidRPr="003D2E02">
        <w:rPr>
          <w:rFonts w:ascii="Times New Roman" w:eastAsia="仿宋_GB2312" w:hAnsi="Times New Roman" w:hint="eastAsia"/>
          <w:sz w:val="32"/>
          <w:szCs w:val="32"/>
        </w:rPr>
        <w:t>10</w:t>
      </w:r>
      <w:r w:rsidR="00A875E0" w:rsidRPr="003D2E02">
        <w:rPr>
          <w:rFonts w:ascii="Times New Roman" w:eastAsia="仿宋_GB2312" w:hAnsi="Times New Roman" w:hint="eastAsia"/>
          <w:sz w:val="32"/>
          <w:szCs w:val="32"/>
        </w:rPr>
        <w:t>项物业纠纷源头化解工作举措。</w:t>
      </w:r>
      <w:r>
        <w:rPr>
          <w:rFonts w:ascii="Times New Roman" w:eastAsia="仿宋_GB2312" w:hAnsi="Times New Roman" w:hint="eastAsia"/>
          <w:sz w:val="32"/>
          <w:szCs w:val="32"/>
        </w:rPr>
        <w:t>围绕推进基层社会治理“强基提能惠民”三年行动要求，联合</w:t>
      </w:r>
      <w:r w:rsidR="00A875E0" w:rsidRPr="003D2E02">
        <w:rPr>
          <w:rFonts w:ascii="Times New Roman" w:eastAsia="仿宋_GB2312" w:hAnsi="Times New Roman" w:hint="eastAsia"/>
          <w:sz w:val="32"/>
          <w:szCs w:val="32"/>
        </w:rPr>
        <w:t>住建</w:t>
      </w:r>
      <w:r>
        <w:rPr>
          <w:rFonts w:ascii="Times New Roman" w:eastAsia="仿宋_GB2312" w:hAnsi="Times New Roman" w:hint="eastAsia"/>
          <w:sz w:val="32"/>
          <w:szCs w:val="32"/>
        </w:rPr>
        <w:t>部门</w:t>
      </w:r>
      <w:r w:rsidR="00A875E0" w:rsidRPr="003D2E02">
        <w:rPr>
          <w:rFonts w:ascii="Times New Roman" w:eastAsia="仿宋_GB2312" w:hAnsi="Times New Roman" w:hint="eastAsia"/>
          <w:sz w:val="32"/>
          <w:szCs w:val="32"/>
        </w:rPr>
        <w:t>制发《关于开展住建领域矛盾纠纷源头预防和实质性化解效果提升专项行动的实施方案》，成立专项行动领导小组和工作专</w:t>
      </w:r>
      <w:r w:rsidR="00A875E0" w:rsidRPr="003D2E02">
        <w:rPr>
          <w:rFonts w:ascii="Times New Roman" w:eastAsia="仿宋_GB2312" w:hAnsi="Times New Roman" w:hint="eastAsia"/>
          <w:sz w:val="32"/>
          <w:szCs w:val="32"/>
        </w:rPr>
        <w:lastRenderedPageBreak/>
        <w:t>班，以物业领域矛盾纠纷为重点，在全市范围开展矛盾纠纷治理效果提升专项行动，促进形成上下贯通、左右协同的物业纠纷治理格局。召开全市人民法庭工作会议暨创建“枫桥式人民法庭”推进会，鼓励支持全市人民法庭以物业纠纷治理为重点开展系列创建工作。</w:t>
      </w:r>
    </w:p>
    <w:p w:rsidR="00A875E0" w:rsidRPr="003D2E02" w:rsidRDefault="00A875E0" w:rsidP="00FC1369">
      <w:pPr>
        <w:spacing w:line="520" w:lineRule="exact"/>
        <w:ind w:firstLineChars="150" w:firstLine="480"/>
        <w:rPr>
          <w:rFonts w:ascii="Times New Roman" w:eastAsia="仿宋_GB2312" w:hAnsi="Times New Roman"/>
          <w:sz w:val="32"/>
          <w:szCs w:val="32"/>
        </w:rPr>
      </w:pPr>
      <w:r w:rsidRPr="003D2E02">
        <w:rPr>
          <w:rFonts w:ascii="Times New Roman" w:eastAsia="仿宋_GB2312" w:hAnsi="Times New Roman" w:hint="eastAsia"/>
          <w:sz w:val="32"/>
          <w:szCs w:val="32"/>
        </w:rPr>
        <w:t>2.</w:t>
      </w:r>
      <w:r w:rsidRPr="003D2E02">
        <w:rPr>
          <w:rFonts w:ascii="Times New Roman" w:eastAsia="仿宋_GB2312" w:hAnsi="Times New Roman" w:hint="eastAsia"/>
          <w:sz w:val="32"/>
          <w:szCs w:val="32"/>
        </w:rPr>
        <w:t>以源头治理为根本，实现解纷关口前移</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主动把物业企业行业治理融入到源头治理中，对物业服务企业履职不当、小区业主无故拖欠物业费的行为进行客观评价、精准“画像”并记录档案，让物业公司自行优化服务质量、业主自觉履行缴费义务在全域内蔚然成风，从源头上激发小区治理的内生动力。昆山法院适用该机制以来，相关小区物业费到位率提升</w:t>
      </w:r>
      <w:r w:rsidRPr="003D2E02">
        <w:rPr>
          <w:rFonts w:ascii="Times New Roman" w:eastAsia="仿宋_GB2312" w:hAnsi="Times New Roman" w:hint="eastAsia"/>
          <w:sz w:val="32"/>
          <w:szCs w:val="32"/>
        </w:rPr>
        <w:t>11.3</w:t>
      </w:r>
      <w:r w:rsidRPr="003D2E02">
        <w:rPr>
          <w:rFonts w:ascii="Times New Roman" w:eastAsia="仿宋_GB2312" w:hAnsi="Times New Roman" w:hint="eastAsia"/>
          <w:sz w:val="32"/>
          <w:szCs w:val="32"/>
        </w:rPr>
        <w:t>个百分点。依托镇（街道）、村（社区）、行业组织等单位的硬件设施和苏州智慧法院建设成果，设立融诉驿站（融合法庭），提供调解指导、诉调对接、普法宣传、智慧诉服、线上庭审等一站式服务，着力形成覆盖全域的“家门口”就地预防化解物业纠纷网格，大大延伸了物业纠纷源头治理工作触角，夯实了基层治理格局的法治底座。</w:t>
      </w:r>
      <w:r w:rsidR="00C71B08">
        <w:rPr>
          <w:rFonts w:ascii="Times New Roman" w:eastAsia="仿宋_GB2312" w:hAnsi="Times New Roman" w:hint="eastAsia"/>
          <w:sz w:val="32"/>
          <w:szCs w:val="32"/>
        </w:rPr>
        <w:t>因地制宜</w:t>
      </w:r>
      <w:r w:rsidRPr="003D2E02">
        <w:rPr>
          <w:rFonts w:ascii="Times New Roman" w:eastAsia="仿宋_GB2312" w:hAnsi="Times New Roman" w:hint="eastAsia"/>
          <w:sz w:val="32"/>
          <w:szCs w:val="32"/>
        </w:rPr>
        <w:t>入驻县（区）、镇（街道）</w:t>
      </w:r>
      <w:r w:rsidR="00626BB2">
        <w:rPr>
          <w:rFonts w:ascii="Times New Roman" w:eastAsia="仿宋_GB2312" w:hAnsi="Times New Roman" w:hint="eastAsia"/>
          <w:sz w:val="32"/>
          <w:szCs w:val="32"/>
        </w:rPr>
        <w:t>社会综治</w:t>
      </w:r>
      <w:r w:rsidRPr="003D2E02">
        <w:rPr>
          <w:rFonts w:ascii="Times New Roman" w:eastAsia="仿宋_GB2312" w:hAnsi="Times New Roman" w:hint="eastAsia"/>
          <w:sz w:val="32"/>
          <w:szCs w:val="32"/>
        </w:rPr>
        <w:t>中心，专人专线为</w:t>
      </w:r>
      <w:r w:rsidR="00D032FB">
        <w:rPr>
          <w:rFonts w:ascii="Times New Roman" w:eastAsia="仿宋_GB2312" w:hAnsi="Times New Roman" w:hint="eastAsia"/>
          <w:sz w:val="32"/>
          <w:szCs w:val="32"/>
        </w:rPr>
        <w:t>综治</w:t>
      </w:r>
      <w:r w:rsidR="00D23253">
        <w:rPr>
          <w:rFonts w:ascii="Times New Roman" w:eastAsia="仿宋_GB2312" w:hAnsi="Times New Roman" w:hint="eastAsia"/>
          <w:sz w:val="32"/>
          <w:szCs w:val="32"/>
        </w:rPr>
        <w:t>中心调解员、网格员提供专业指导，促进物业纠纷依法高效化解。</w:t>
      </w:r>
      <w:r w:rsidR="00FC1369" w:rsidRPr="00F62303">
        <w:rPr>
          <w:rFonts w:ascii="Times New Roman" w:eastAsia="仿宋_GB2312" w:hAnsi="Times New Roman" w:hint="eastAsia"/>
          <w:sz w:val="32"/>
          <w:szCs w:val="32"/>
        </w:rPr>
        <w:t>2024</w:t>
      </w:r>
      <w:r w:rsidR="00FC1369" w:rsidRPr="00F62303">
        <w:rPr>
          <w:rFonts w:ascii="Times New Roman" w:eastAsia="仿宋_GB2312" w:hAnsi="Times New Roman" w:hint="eastAsia"/>
          <w:sz w:val="32"/>
          <w:szCs w:val="32"/>
        </w:rPr>
        <w:t>年</w:t>
      </w:r>
      <w:r w:rsidRPr="00F62303">
        <w:rPr>
          <w:rFonts w:ascii="Times New Roman" w:eastAsia="仿宋_GB2312" w:hAnsi="Times New Roman" w:hint="eastAsia"/>
          <w:sz w:val="32"/>
          <w:szCs w:val="32"/>
        </w:rPr>
        <w:t>，苏州法院诉前分流调解物业纠纷</w:t>
      </w:r>
      <w:r w:rsidR="00F62303" w:rsidRPr="00F62303">
        <w:rPr>
          <w:rFonts w:ascii="Times New Roman" w:eastAsia="仿宋_GB2312" w:hAnsi="Times New Roman" w:hint="eastAsia"/>
          <w:sz w:val="32"/>
          <w:szCs w:val="32"/>
        </w:rPr>
        <w:t>7159</w:t>
      </w:r>
      <w:r w:rsidRPr="00F62303">
        <w:rPr>
          <w:rFonts w:ascii="Times New Roman" w:eastAsia="仿宋_GB2312" w:hAnsi="Times New Roman" w:hint="eastAsia"/>
          <w:sz w:val="32"/>
          <w:szCs w:val="32"/>
        </w:rPr>
        <w:t>件，调解成功</w:t>
      </w:r>
      <w:r w:rsidR="00F62303" w:rsidRPr="00F62303">
        <w:rPr>
          <w:rFonts w:ascii="Times New Roman" w:eastAsia="仿宋_GB2312" w:hAnsi="Times New Roman" w:hint="eastAsia"/>
          <w:sz w:val="32"/>
          <w:szCs w:val="32"/>
        </w:rPr>
        <w:t>4267</w:t>
      </w:r>
      <w:r w:rsidRPr="00F62303">
        <w:rPr>
          <w:rFonts w:ascii="Times New Roman" w:eastAsia="仿宋_GB2312" w:hAnsi="Times New Roman" w:hint="eastAsia"/>
          <w:sz w:val="32"/>
          <w:szCs w:val="32"/>
        </w:rPr>
        <w:t>件，同比分别上升</w:t>
      </w:r>
      <w:r w:rsidR="00F62303" w:rsidRPr="00F62303">
        <w:rPr>
          <w:rFonts w:ascii="Times New Roman" w:eastAsia="仿宋_GB2312" w:hAnsi="Times New Roman" w:hint="eastAsia"/>
          <w:sz w:val="32"/>
          <w:szCs w:val="32"/>
        </w:rPr>
        <w:t>2.9</w:t>
      </w:r>
      <w:r w:rsidRPr="00F62303">
        <w:rPr>
          <w:rFonts w:ascii="Times New Roman" w:eastAsia="仿宋_GB2312" w:hAnsi="Times New Roman" w:hint="eastAsia"/>
          <w:sz w:val="32"/>
          <w:szCs w:val="32"/>
        </w:rPr>
        <w:t>%</w:t>
      </w:r>
      <w:r w:rsidRPr="00F62303">
        <w:rPr>
          <w:rFonts w:ascii="Times New Roman" w:eastAsia="仿宋_GB2312" w:hAnsi="Times New Roman" w:hint="eastAsia"/>
          <w:sz w:val="32"/>
          <w:szCs w:val="32"/>
        </w:rPr>
        <w:t>和</w:t>
      </w:r>
      <w:r w:rsidR="00F62303" w:rsidRPr="00F62303">
        <w:rPr>
          <w:rFonts w:ascii="Times New Roman" w:eastAsia="仿宋_GB2312" w:hAnsi="Times New Roman" w:hint="eastAsia"/>
          <w:sz w:val="32"/>
          <w:szCs w:val="32"/>
        </w:rPr>
        <w:t>10.3</w:t>
      </w:r>
      <w:r w:rsidRPr="00F62303">
        <w:rPr>
          <w:rFonts w:ascii="Times New Roman" w:eastAsia="仿宋_GB2312" w:hAnsi="Times New Roman" w:hint="eastAsia"/>
          <w:sz w:val="32"/>
          <w:szCs w:val="32"/>
        </w:rPr>
        <w:t>%</w:t>
      </w:r>
      <w:r w:rsidRPr="00F62303">
        <w:rPr>
          <w:rFonts w:ascii="Times New Roman" w:eastAsia="仿宋_GB2312" w:hAnsi="Times New Roman" w:hint="eastAsia"/>
          <w:sz w:val="32"/>
          <w:szCs w:val="32"/>
        </w:rPr>
        <w:t>。</w:t>
      </w:r>
      <w:r w:rsidRPr="00F62303">
        <w:rPr>
          <w:rFonts w:ascii="Times New Roman" w:eastAsia="仿宋_GB2312" w:hAnsi="Times New Roman" w:hint="eastAsia"/>
          <w:sz w:val="32"/>
          <w:szCs w:val="32"/>
        </w:rPr>
        <w:t xml:space="preserve"> </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3.</w:t>
      </w:r>
      <w:r w:rsidRPr="003D2E02">
        <w:rPr>
          <w:rFonts w:ascii="Times New Roman" w:eastAsia="仿宋_GB2312" w:hAnsi="Times New Roman" w:hint="eastAsia"/>
          <w:sz w:val="32"/>
          <w:szCs w:val="32"/>
        </w:rPr>
        <w:t>以机制创新为引领，提升源头治理效能</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建立健全</w:t>
      </w:r>
      <w:r w:rsidR="00914B37">
        <w:rPr>
          <w:rFonts w:ascii="Times New Roman" w:eastAsia="仿宋_GB2312" w:hAnsi="Times New Roman" w:hint="eastAsia"/>
          <w:sz w:val="32"/>
          <w:szCs w:val="32"/>
        </w:rPr>
        <w:t>物业</w:t>
      </w:r>
      <w:r w:rsidRPr="003D2E02">
        <w:rPr>
          <w:rFonts w:ascii="Times New Roman" w:eastAsia="仿宋_GB2312" w:hAnsi="Times New Roman" w:hint="eastAsia"/>
          <w:sz w:val="32"/>
          <w:szCs w:val="32"/>
        </w:rPr>
        <w:t>纠纷调处机制，通过召开“物业巡回审判”工作机制推广会，总结推广昆山法院物业巡回审判工作经验，以设立具有相对独立办公条件的物业审判法庭、推动物业纠纷巡回审</w:t>
      </w:r>
      <w:r w:rsidRPr="003D2E02">
        <w:rPr>
          <w:rFonts w:ascii="Times New Roman" w:eastAsia="仿宋_GB2312" w:hAnsi="Times New Roman" w:hint="eastAsia"/>
          <w:sz w:val="32"/>
          <w:szCs w:val="32"/>
        </w:rPr>
        <w:lastRenderedPageBreak/>
        <w:t>判融入</w:t>
      </w:r>
      <w:r w:rsidR="006D5C83">
        <w:rPr>
          <w:rFonts w:ascii="Times New Roman" w:eastAsia="仿宋_GB2312" w:hAnsi="Times New Roman" w:hint="eastAsia"/>
          <w:sz w:val="32"/>
          <w:szCs w:val="32"/>
        </w:rPr>
        <w:t>综治</w:t>
      </w:r>
      <w:r w:rsidRPr="003D2E02">
        <w:rPr>
          <w:rFonts w:ascii="Times New Roman" w:eastAsia="仿宋_GB2312" w:hAnsi="Times New Roman" w:hint="eastAsia"/>
          <w:sz w:val="32"/>
          <w:szCs w:val="32"/>
        </w:rPr>
        <w:t>中心建设等多种方式，因地制宜复制推广集源头治理、多元解纷、诉调对接、示范诉讼为一体的物业巡回审判实体化运行模式。支持辖区内法院在物业纠纷源头治理方面拓展工作思路、创新工作方法，如相城法院挂牌设立全市首个实体化运行的物业纠纷调解工作站，引入住建局、司法局专职人员负责日常调解工作，由法院派驻法官提供法律指导、协同化解、司法确认等服务，充分发挥了职能部门的各自优势。张家港法院开发区人民法庭打造“‘人大</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政府</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法院’全参与、‘诉前调解</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诉中审判</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延伸服务’全流程”的“</w:t>
      </w:r>
      <w:r w:rsidRPr="003D2E02">
        <w:rPr>
          <w:rFonts w:ascii="Times New Roman" w:eastAsia="仿宋_GB2312" w:hAnsi="Times New Roman" w:hint="eastAsia"/>
          <w:sz w:val="32"/>
          <w:szCs w:val="32"/>
        </w:rPr>
        <w:t>3+3</w:t>
      </w:r>
      <w:r w:rsidRPr="003D2E02">
        <w:rPr>
          <w:rFonts w:ascii="Times New Roman" w:eastAsia="仿宋_GB2312" w:hAnsi="Times New Roman" w:hint="eastAsia"/>
          <w:sz w:val="32"/>
          <w:szCs w:val="32"/>
        </w:rPr>
        <w:t>”模式助推物业纠纷源头治理，通过“示范性诉讼</w:t>
      </w:r>
      <w:r w:rsidRPr="003D2E02">
        <w:rPr>
          <w:rFonts w:ascii="Times New Roman" w:eastAsia="仿宋_GB2312" w:hAnsi="Times New Roman" w:hint="eastAsia"/>
          <w:sz w:val="32"/>
          <w:szCs w:val="32"/>
        </w:rPr>
        <w:t>+</w:t>
      </w:r>
      <w:r w:rsidRPr="003D2E02">
        <w:rPr>
          <w:rFonts w:ascii="Times New Roman" w:eastAsia="仿宋_GB2312" w:hAnsi="Times New Roman" w:hint="eastAsia"/>
          <w:sz w:val="32"/>
          <w:szCs w:val="32"/>
        </w:rPr>
        <w:t>巡回审判”方式，按照“以点带面、整体化解”的工作思路处理物业纠纷案件，以典型个案的示范调判带动了某小区</w:t>
      </w:r>
      <w:r w:rsidRPr="003D2E02">
        <w:rPr>
          <w:rFonts w:ascii="Times New Roman" w:eastAsia="仿宋_GB2312" w:hAnsi="Times New Roman" w:hint="eastAsia"/>
          <w:sz w:val="32"/>
          <w:szCs w:val="32"/>
        </w:rPr>
        <w:t>460</w:t>
      </w:r>
      <w:r w:rsidRPr="003D2E02">
        <w:rPr>
          <w:rFonts w:ascii="Times New Roman" w:eastAsia="仿宋_GB2312" w:hAnsi="Times New Roman" w:hint="eastAsia"/>
          <w:sz w:val="32"/>
          <w:szCs w:val="32"/>
        </w:rPr>
        <w:t>余户业主与物业公司在诉前达成庭外和解</w:t>
      </w:r>
      <w:r w:rsidR="00A82820">
        <w:rPr>
          <w:rFonts w:ascii="Times New Roman" w:eastAsia="仿宋_GB2312" w:hAnsi="Times New Roman" w:hint="eastAsia"/>
          <w:sz w:val="32"/>
          <w:szCs w:val="32"/>
        </w:rPr>
        <w:t>。</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4.</w:t>
      </w:r>
      <w:r w:rsidRPr="003D2E02">
        <w:rPr>
          <w:rFonts w:ascii="Times New Roman" w:eastAsia="仿宋_GB2312" w:hAnsi="Times New Roman" w:hint="eastAsia"/>
          <w:sz w:val="32"/>
          <w:szCs w:val="32"/>
        </w:rPr>
        <w:t>以关键问题为切口，运用科技解决纠纷</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物业费纠纷在全部物业类纠纷中占比超过</w:t>
      </w:r>
      <w:r w:rsidRPr="003D2E02">
        <w:rPr>
          <w:rFonts w:ascii="Times New Roman" w:eastAsia="仿宋_GB2312" w:hAnsi="Times New Roman" w:hint="eastAsia"/>
          <w:sz w:val="32"/>
          <w:szCs w:val="32"/>
        </w:rPr>
        <w:t>95%</w:t>
      </w:r>
      <w:r w:rsidRPr="003D2E02">
        <w:rPr>
          <w:rFonts w:ascii="Times New Roman" w:eastAsia="仿宋_GB2312" w:hAnsi="Times New Roman" w:hint="eastAsia"/>
          <w:sz w:val="32"/>
          <w:szCs w:val="32"/>
        </w:rPr>
        <w:t>，攻克物业费纠纷是压降物业纠纷的重中之重。苏州法院以物业收缴费为评估指标，结合物业纠纷类型化特征，探索生成式人工智能大模型技术与司法工作深度融合，开发应用“未来法官助手”智能辅助办案系统，以科技赋能提升物业纠纷案件办理质效。用足用好江苏微解纷、苏州智慧法院</w:t>
      </w:r>
      <w:r w:rsidRPr="003D2E02">
        <w:rPr>
          <w:rFonts w:ascii="Times New Roman" w:eastAsia="仿宋_GB2312" w:hAnsi="Times New Roman" w:hint="eastAsia"/>
          <w:sz w:val="32"/>
          <w:szCs w:val="32"/>
        </w:rPr>
        <w:t>APP</w:t>
      </w:r>
      <w:r w:rsidRPr="003D2E02">
        <w:rPr>
          <w:rFonts w:ascii="Times New Roman" w:eastAsia="仿宋_GB2312" w:hAnsi="Times New Roman" w:hint="eastAsia"/>
          <w:sz w:val="32"/>
          <w:szCs w:val="32"/>
        </w:rPr>
        <w:t>等在线解纷平台，</w:t>
      </w:r>
      <w:r w:rsidRPr="00A36E9E">
        <w:rPr>
          <w:rFonts w:ascii="Times New Roman" w:eastAsia="仿宋_GB2312" w:hAnsi="Times New Roman" w:hint="eastAsia"/>
          <w:sz w:val="32"/>
          <w:szCs w:val="32"/>
        </w:rPr>
        <w:t>建立健全在线咨询、在线分流、在线调解、在线反馈、在线司法确认等功能</w:t>
      </w:r>
      <w:r>
        <w:rPr>
          <w:rFonts w:ascii="Times New Roman" w:eastAsia="仿宋_GB2312" w:hAnsi="Times New Roman" w:hint="eastAsia"/>
          <w:sz w:val="32"/>
          <w:szCs w:val="32"/>
        </w:rPr>
        <w:t>，</w:t>
      </w:r>
      <w:r w:rsidRPr="003D2E02">
        <w:rPr>
          <w:rFonts w:ascii="Times New Roman" w:eastAsia="仿宋_GB2312" w:hAnsi="Times New Roman" w:hint="eastAsia"/>
          <w:sz w:val="32"/>
          <w:szCs w:val="32"/>
        </w:rPr>
        <w:t>让更多资源集聚“一块屏”，让群众尽享全流程指尖解纷便利。充分发挥司法大数据“晴雨表”作用，落实好最高人民法院《关于综合治理类司法建议工作若干问题的规定》，牢固树立“抓前端、治未病”理念，结合本地实际情况和司法实践中发现的突出问题，</w:t>
      </w:r>
      <w:r w:rsidRPr="003D2E02">
        <w:rPr>
          <w:rFonts w:ascii="Times New Roman" w:eastAsia="仿宋_GB2312" w:hAnsi="Times New Roman" w:hint="eastAsia"/>
          <w:sz w:val="32"/>
          <w:szCs w:val="32"/>
        </w:rPr>
        <w:lastRenderedPageBreak/>
        <w:t>深入分析挖掘大数据背后隐含的规律性特征，通过发送高质量司法建议、分析报告等形式，为党委政府防范化解风险隐患提供决策参考。其中吴中法院在某物业公司违反“告知同意”原则强制业主“刷脸”出入小区案中向住建部门发送的司法建议获评全省优秀，极大地提升了物业公司服务管理水平。</w:t>
      </w:r>
    </w:p>
    <w:p w:rsidR="00A875E0" w:rsidRPr="003D2E02"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5.</w:t>
      </w:r>
      <w:r w:rsidRPr="003D2E02">
        <w:rPr>
          <w:rFonts w:ascii="Times New Roman" w:eastAsia="仿宋_GB2312" w:hAnsi="Times New Roman" w:hint="eastAsia"/>
          <w:sz w:val="32"/>
          <w:szCs w:val="32"/>
        </w:rPr>
        <w:t>以调查研究为基准，强化司法示范效应</w:t>
      </w:r>
    </w:p>
    <w:p w:rsidR="00A875E0" w:rsidRPr="00984C84"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切实做好物业纠纷源头治理的调查研究课题，针对物业纠纷处理过程中经常涉及适用地方性法规的特点，制定出台了《关于加强苏州市地方性法规司法适用的工作意见》，充分发挥地方性法规</w:t>
      </w:r>
      <w:r w:rsidR="0082410B">
        <w:rPr>
          <w:rFonts w:ascii="Times New Roman" w:eastAsia="仿宋_GB2312" w:hAnsi="Times New Roman" w:hint="eastAsia"/>
          <w:sz w:val="32"/>
          <w:szCs w:val="32"/>
        </w:rPr>
        <w:t>重要</w:t>
      </w:r>
      <w:r w:rsidRPr="003D2E02">
        <w:rPr>
          <w:rFonts w:ascii="Times New Roman" w:eastAsia="仿宋_GB2312" w:hAnsi="Times New Roman" w:hint="eastAsia"/>
          <w:sz w:val="32"/>
          <w:szCs w:val="32"/>
        </w:rPr>
        <w:t>法治保障作用，着力将地方立法成果转化为基层治理效能。加强物业纠纷案件裁判文书的释法说理，出台规范释法析理工作的专门指引，综合运用法官附言、法官寄语等方式向当事人讲明法理、讲清情理、讲</w:t>
      </w:r>
      <w:r w:rsidR="00603D8A">
        <w:rPr>
          <w:rFonts w:ascii="Times New Roman" w:eastAsia="仿宋_GB2312" w:hAnsi="Times New Roman" w:hint="eastAsia"/>
          <w:sz w:val="32"/>
          <w:szCs w:val="32"/>
        </w:rPr>
        <w:t>透事理，从而积极促成矛盾纠纷以更加低成本、高效率的方式妥善化解</w:t>
      </w:r>
      <w:r w:rsidRPr="003D2E02">
        <w:rPr>
          <w:rFonts w:ascii="Times New Roman" w:eastAsia="仿宋_GB2312" w:hAnsi="Times New Roman" w:hint="eastAsia"/>
          <w:sz w:val="32"/>
          <w:szCs w:val="32"/>
        </w:rPr>
        <w:t>。发挥物业纠纷典型案例的指引、评价作用，依法妥善审理“开发商侵占公共收益案”“物业公司不当收集个人信息案”等新型物业纠纷，以典型案例裁判使公众形成合理的法律预期。近年来</w:t>
      </w:r>
      <w:r w:rsidRPr="003D2E02">
        <w:rPr>
          <w:rFonts w:ascii="Times New Roman" w:eastAsia="仿宋_GB2312" w:hAnsi="Times New Roman" w:hint="eastAsia"/>
          <w:sz w:val="32"/>
          <w:szCs w:val="32"/>
        </w:rPr>
        <w:t>3</w:t>
      </w:r>
      <w:r w:rsidRPr="003D2E02">
        <w:rPr>
          <w:rFonts w:ascii="Times New Roman" w:eastAsia="仿宋_GB2312" w:hAnsi="Times New Roman" w:hint="eastAsia"/>
          <w:sz w:val="32"/>
          <w:szCs w:val="32"/>
        </w:rPr>
        <w:t>件案例获评省级以上典型案例，多起案件获中央广播电视总台等主流媒体深度报道。</w:t>
      </w:r>
    </w:p>
    <w:p w:rsidR="00A875E0" w:rsidRDefault="00603D8A" w:rsidP="00FC1369">
      <w:pPr>
        <w:spacing w:line="520" w:lineRule="exact"/>
        <w:ind w:firstLineChars="200" w:firstLine="640"/>
        <w:rPr>
          <w:rFonts w:ascii="黑体" w:eastAsia="黑体" w:hAnsi="黑体"/>
          <w:sz w:val="32"/>
          <w:szCs w:val="32"/>
        </w:rPr>
      </w:pPr>
      <w:r>
        <w:rPr>
          <w:rFonts w:ascii="黑体" w:eastAsia="黑体" w:hAnsi="黑体" w:hint="eastAsia"/>
          <w:sz w:val="32"/>
          <w:szCs w:val="32"/>
        </w:rPr>
        <w:t>二</w:t>
      </w:r>
      <w:r w:rsidR="00A875E0" w:rsidRPr="003D2E02">
        <w:rPr>
          <w:rFonts w:ascii="黑体" w:eastAsia="黑体" w:hAnsi="黑体" w:hint="eastAsia"/>
          <w:sz w:val="32"/>
          <w:szCs w:val="32"/>
        </w:rPr>
        <w:t>、物业纠纷源头治理的现实考量</w:t>
      </w:r>
    </w:p>
    <w:p w:rsidR="00A875E0" w:rsidRPr="001150FE" w:rsidRDefault="00001D26" w:rsidP="001150FE">
      <w:pPr>
        <w:pStyle w:val="a6"/>
        <w:spacing w:line="520" w:lineRule="exact"/>
        <w:ind w:left="562" w:firstLineChars="0" w:firstLine="0"/>
        <w:rPr>
          <w:rFonts w:ascii="楷体" w:eastAsia="楷体" w:hAnsi="楷体"/>
          <w:sz w:val="32"/>
          <w:szCs w:val="32"/>
        </w:rPr>
      </w:pPr>
      <w:r>
        <w:rPr>
          <w:rFonts w:ascii="楷体" w:eastAsia="楷体" w:hAnsi="楷体" w:hint="eastAsia"/>
          <w:sz w:val="32"/>
          <w:szCs w:val="32"/>
        </w:rPr>
        <w:t>（一）物业纠纷</w:t>
      </w:r>
      <w:r w:rsidR="00AC57F3" w:rsidRPr="001150FE">
        <w:rPr>
          <w:rFonts w:ascii="楷体" w:eastAsia="楷体" w:hAnsi="楷体" w:hint="eastAsia"/>
          <w:sz w:val="32"/>
          <w:szCs w:val="32"/>
        </w:rPr>
        <w:t>成诉的原因</w:t>
      </w:r>
    </w:p>
    <w:p w:rsidR="007A3959" w:rsidRDefault="00A875E0" w:rsidP="00FC1369">
      <w:pPr>
        <w:spacing w:line="520" w:lineRule="exact"/>
        <w:ind w:firstLineChars="200" w:firstLine="640"/>
        <w:rPr>
          <w:rFonts w:ascii="Times New Roman" w:eastAsia="仿宋_GB2312"/>
          <w:sz w:val="32"/>
          <w:szCs w:val="32"/>
        </w:rPr>
      </w:pPr>
      <w:r w:rsidRPr="003D2E02">
        <w:rPr>
          <w:rFonts w:ascii="Times New Roman" w:eastAsia="仿宋_GB2312" w:hint="eastAsia"/>
          <w:sz w:val="32"/>
          <w:szCs w:val="32"/>
        </w:rPr>
        <w:t>1.</w:t>
      </w:r>
      <w:r w:rsidRPr="003D2E02">
        <w:rPr>
          <w:rFonts w:ascii="Times New Roman" w:eastAsia="仿宋_GB2312" w:hint="eastAsia"/>
          <w:sz w:val="32"/>
          <w:szCs w:val="32"/>
        </w:rPr>
        <w:t>观念层面。一方面，物业服务企业服务与管理理念错位，存在重收费轻服务的现象。</w:t>
      </w:r>
      <w:r w:rsidR="00E644B4">
        <w:rPr>
          <w:rFonts w:ascii="Times New Roman" w:eastAsia="仿宋_GB2312" w:hint="eastAsia"/>
          <w:sz w:val="32"/>
          <w:szCs w:val="32"/>
        </w:rPr>
        <w:t>部分</w:t>
      </w:r>
      <w:r w:rsidRPr="003D2E02">
        <w:rPr>
          <w:rFonts w:ascii="Times New Roman" w:eastAsia="仿宋_GB2312" w:hint="eastAsia"/>
          <w:sz w:val="32"/>
          <w:szCs w:val="32"/>
        </w:rPr>
        <w:t>物业服务企业经营理念未</w:t>
      </w:r>
      <w:r w:rsidR="00C069C8">
        <w:rPr>
          <w:rFonts w:ascii="Times New Roman" w:eastAsia="仿宋_GB2312" w:hint="eastAsia"/>
          <w:sz w:val="32"/>
          <w:szCs w:val="32"/>
        </w:rPr>
        <w:t>实现从管理型向服务型的转变，仍以“管理者”自居，在管理小区事务</w:t>
      </w:r>
      <w:r w:rsidRPr="003D2E02">
        <w:rPr>
          <w:rFonts w:ascii="Times New Roman" w:eastAsia="仿宋_GB2312" w:hint="eastAsia"/>
          <w:sz w:val="32"/>
          <w:szCs w:val="32"/>
        </w:rPr>
        <w:t>时简单粗暴，无视甚至侵害业主的合法权益。另一方面，业主存</w:t>
      </w:r>
      <w:r w:rsidRPr="003D2E02">
        <w:rPr>
          <w:rFonts w:ascii="Times New Roman" w:eastAsia="仿宋_GB2312" w:hint="eastAsia"/>
          <w:sz w:val="32"/>
          <w:szCs w:val="32"/>
        </w:rPr>
        <w:lastRenderedPageBreak/>
        <w:t>在认识偏差，缺乏正确的消费观。</w:t>
      </w:r>
      <w:r w:rsidR="00EB35CE">
        <w:rPr>
          <w:rFonts w:ascii="Times New Roman" w:eastAsia="仿宋_GB2312" w:hint="eastAsia"/>
          <w:sz w:val="32"/>
          <w:szCs w:val="32"/>
        </w:rPr>
        <w:t>受</w:t>
      </w:r>
      <w:r w:rsidRPr="003D2E02">
        <w:rPr>
          <w:rFonts w:ascii="Times New Roman" w:eastAsia="仿宋_GB2312" w:hint="eastAsia"/>
          <w:sz w:val="32"/>
          <w:szCs w:val="32"/>
        </w:rPr>
        <w:t>“花钱买服务”的传统观念</w:t>
      </w:r>
      <w:r w:rsidR="00EB35CE">
        <w:rPr>
          <w:rFonts w:ascii="Times New Roman" w:eastAsia="仿宋_GB2312" w:hint="eastAsia"/>
          <w:sz w:val="32"/>
          <w:szCs w:val="32"/>
        </w:rPr>
        <w:t>影响</w:t>
      </w:r>
      <w:r w:rsidRPr="003D2E02">
        <w:rPr>
          <w:rFonts w:ascii="Times New Roman" w:eastAsia="仿宋_GB2312" w:hint="eastAsia"/>
          <w:sz w:val="32"/>
          <w:szCs w:val="32"/>
        </w:rPr>
        <w:t>，业主常认为物业服务企业应当满足其一切要求，部分业主将小区违章建筑、邻里纠纷等全部问题都归咎于物业公司，或将与物业公司或小区其他人员</w:t>
      </w:r>
      <w:r w:rsidR="0059030B">
        <w:rPr>
          <w:rFonts w:ascii="Times New Roman" w:eastAsia="仿宋_GB2312" w:hint="eastAsia"/>
          <w:sz w:val="32"/>
          <w:szCs w:val="32"/>
        </w:rPr>
        <w:t>存在如人身损害、财产损害等其他纠纷作为拒缴物业费的理由。殊不知</w:t>
      </w:r>
      <w:r w:rsidRPr="003D2E02">
        <w:rPr>
          <w:rFonts w:ascii="Times New Roman" w:eastAsia="仿宋_GB2312" w:hint="eastAsia"/>
          <w:sz w:val="32"/>
          <w:szCs w:val="32"/>
        </w:rPr>
        <w:t>物业服务是一个持续动态的过程，不能单依据某一</w:t>
      </w:r>
      <w:r w:rsidR="00EB35CE">
        <w:rPr>
          <w:rFonts w:ascii="Times New Roman" w:eastAsia="仿宋_GB2312" w:hint="eastAsia"/>
          <w:sz w:val="32"/>
          <w:szCs w:val="32"/>
        </w:rPr>
        <w:t>时点</w:t>
      </w:r>
      <w:r w:rsidRPr="003D2E02">
        <w:rPr>
          <w:rFonts w:ascii="Times New Roman" w:eastAsia="仿宋_GB2312" w:hint="eastAsia"/>
          <w:sz w:val="32"/>
          <w:szCs w:val="32"/>
        </w:rPr>
        <w:t>的服务不规范就从整体上推定物业服务企业未能履行其主要职责，更遑论物业服务质量的好坏涉及到个人主观感受，</w:t>
      </w:r>
      <w:r w:rsidR="00C03E4B">
        <w:rPr>
          <w:rFonts w:ascii="Times New Roman" w:eastAsia="仿宋_GB2312" w:hint="eastAsia"/>
          <w:sz w:val="32"/>
          <w:szCs w:val="32"/>
        </w:rPr>
        <w:t>无法自主决定</w:t>
      </w:r>
      <w:r w:rsidRPr="003D2E02">
        <w:rPr>
          <w:rFonts w:ascii="Times New Roman" w:eastAsia="仿宋_GB2312" w:hint="eastAsia"/>
          <w:sz w:val="32"/>
          <w:szCs w:val="32"/>
        </w:rPr>
        <w:t>评判标准。</w:t>
      </w:r>
    </w:p>
    <w:p w:rsidR="00A875E0" w:rsidRPr="003D2E02" w:rsidRDefault="00A875E0" w:rsidP="00FC1369">
      <w:pPr>
        <w:spacing w:line="520" w:lineRule="exact"/>
        <w:ind w:firstLineChars="200" w:firstLine="640"/>
        <w:rPr>
          <w:rFonts w:ascii="Times New Roman" w:eastAsia="仿宋_GB2312"/>
          <w:sz w:val="32"/>
          <w:szCs w:val="32"/>
        </w:rPr>
      </w:pPr>
      <w:r w:rsidRPr="003D2E02">
        <w:rPr>
          <w:rFonts w:ascii="Times New Roman" w:eastAsia="仿宋_GB2312" w:hint="eastAsia"/>
          <w:sz w:val="32"/>
          <w:szCs w:val="32"/>
        </w:rPr>
        <w:t>2.</w:t>
      </w:r>
      <w:r w:rsidRPr="003D2E02">
        <w:rPr>
          <w:rFonts w:ascii="Times New Roman" w:eastAsia="仿宋_GB2312" w:hint="eastAsia"/>
          <w:sz w:val="32"/>
          <w:szCs w:val="32"/>
        </w:rPr>
        <w:t>规范层面。《民法典》</w:t>
      </w:r>
      <w:r w:rsidR="0059030B">
        <w:rPr>
          <w:rFonts w:ascii="Times New Roman" w:eastAsia="仿宋_GB2312" w:hint="eastAsia"/>
          <w:sz w:val="32"/>
          <w:szCs w:val="32"/>
        </w:rPr>
        <w:t>施行</w:t>
      </w:r>
      <w:r w:rsidRPr="003D2E02">
        <w:rPr>
          <w:rFonts w:ascii="Times New Roman" w:eastAsia="仿宋_GB2312" w:hint="eastAsia"/>
          <w:sz w:val="32"/>
          <w:szCs w:val="32"/>
        </w:rPr>
        <w:t>之后，物业服务合同作为一种典型合同被纳入合同编，能够为物业服务合同领域纠纷提供一些规范依据，但囿于其规定的较为原则，</w:t>
      </w:r>
      <w:r w:rsidR="0059030B">
        <w:rPr>
          <w:rFonts w:ascii="Times New Roman" w:eastAsia="仿宋_GB2312" w:hint="eastAsia"/>
          <w:sz w:val="32"/>
          <w:szCs w:val="32"/>
        </w:rPr>
        <w:t>又因</w:t>
      </w:r>
      <w:r w:rsidR="0044732C" w:rsidRPr="0044732C">
        <w:rPr>
          <w:rFonts w:ascii="Times New Roman" w:eastAsia="仿宋_GB2312" w:hint="eastAsia"/>
          <w:sz w:val="32"/>
          <w:szCs w:val="32"/>
        </w:rPr>
        <w:t>缺乏明确法律政策的指引，法院在审理涉及充电桩安装、老旧小区电梯加装、垃圾投放点设置、车位划分等领域的纠纷容易造成裁判尺度不一的局面。</w:t>
      </w:r>
      <w:r w:rsidRPr="003D2E02">
        <w:rPr>
          <w:rFonts w:ascii="Times New Roman" w:eastAsia="仿宋_GB2312" w:hint="eastAsia"/>
          <w:sz w:val="32"/>
          <w:szCs w:val="32"/>
        </w:rPr>
        <w:t>苏州市</w:t>
      </w:r>
      <w:r w:rsidR="0087781C" w:rsidRPr="003D2E02">
        <w:rPr>
          <w:rFonts w:ascii="Times New Roman" w:eastAsia="仿宋_GB2312" w:hint="eastAsia"/>
          <w:sz w:val="32"/>
          <w:szCs w:val="32"/>
        </w:rPr>
        <w:t>虽然</w:t>
      </w:r>
      <w:r w:rsidRPr="003D2E02">
        <w:rPr>
          <w:rFonts w:ascii="Times New Roman" w:eastAsia="仿宋_GB2312" w:hint="eastAsia"/>
          <w:sz w:val="32"/>
          <w:szCs w:val="32"/>
        </w:rPr>
        <w:t>制定了较为详尽的《苏州市住宅区物业管理条例》，但</w:t>
      </w:r>
      <w:r w:rsidR="0044732C">
        <w:rPr>
          <w:rFonts w:ascii="Times New Roman" w:eastAsia="仿宋_GB2312" w:hint="eastAsia"/>
          <w:sz w:val="32"/>
          <w:szCs w:val="32"/>
        </w:rPr>
        <w:t>通过</w:t>
      </w:r>
      <w:r w:rsidRPr="003D2E02">
        <w:rPr>
          <w:rFonts w:ascii="Times New Roman" w:eastAsia="仿宋_GB2312" w:hint="eastAsia"/>
          <w:sz w:val="32"/>
          <w:szCs w:val="32"/>
        </w:rPr>
        <w:t>调查发现，出于法官主动适用地方性法规的动力不足以及缺乏有效的外部监督管理机制，导致其在实践中的使用频次并不高，地方立法成果未能有效转化为地方治理效果。故而，规范内容的模糊化以及规范适用的欠缺化共同催生了物业纠纷领域难题。</w:t>
      </w:r>
    </w:p>
    <w:p w:rsidR="00A875E0" w:rsidRPr="00984C84" w:rsidRDefault="00A875E0" w:rsidP="00FC1369">
      <w:pPr>
        <w:spacing w:line="520" w:lineRule="exact"/>
        <w:ind w:firstLineChars="200" w:firstLine="640"/>
        <w:rPr>
          <w:rFonts w:ascii="Times New Roman" w:eastAsia="仿宋_GB2312"/>
          <w:sz w:val="32"/>
          <w:szCs w:val="32"/>
        </w:rPr>
      </w:pPr>
      <w:r w:rsidRPr="003D2E02">
        <w:rPr>
          <w:rFonts w:ascii="Times New Roman" w:eastAsia="仿宋_GB2312" w:hint="eastAsia"/>
          <w:sz w:val="32"/>
          <w:szCs w:val="32"/>
        </w:rPr>
        <w:t>3.</w:t>
      </w:r>
      <w:r w:rsidRPr="003D2E02">
        <w:rPr>
          <w:rFonts w:ascii="Times New Roman" w:eastAsia="仿宋_GB2312" w:hint="eastAsia"/>
          <w:sz w:val="32"/>
          <w:szCs w:val="32"/>
        </w:rPr>
        <w:t>履责层面。案件审理中发现部分开发商在房屋销售时存在虚假承诺，未能如实将小区内的真实情况告知业主。如在实际施工中改变销售时承诺的小区规划、削减小区的配套设施项目等，亦或是部分小区在建设时期就存在缺陷，导致物业服务企业管理的对象存在先天不足。而因为部分前期被聘请的物业服务企业与</w:t>
      </w:r>
      <w:r w:rsidRPr="003D2E02">
        <w:rPr>
          <w:rFonts w:ascii="Times New Roman" w:eastAsia="仿宋_GB2312" w:hint="eastAsia"/>
          <w:sz w:val="32"/>
          <w:szCs w:val="32"/>
        </w:rPr>
        <w:lastRenderedPageBreak/>
        <w:t>开发商系属同一个集团，业主</w:t>
      </w:r>
      <w:r w:rsidR="0059030B">
        <w:rPr>
          <w:rFonts w:ascii="Times New Roman" w:eastAsia="仿宋_GB2312" w:hint="eastAsia"/>
          <w:sz w:val="32"/>
          <w:szCs w:val="32"/>
        </w:rPr>
        <w:t>在与开发商交涉无果的情况下，</w:t>
      </w:r>
      <w:r w:rsidRPr="003D2E02">
        <w:rPr>
          <w:rFonts w:ascii="Times New Roman" w:eastAsia="仿宋_GB2312" w:hint="eastAsia"/>
          <w:sz w:val="32"/>
          <w:szCs w:val="32"/>
        </w:rPr>
        <w:t>自然会将原因归咎在物业服务企业上，从而加剧了物业服务企业与业主之间的紧张关系。</w:t>
      </w:r>
      <w:r w:rsidR="001F6E1C">
        <w:rPr>
          <w:rFonts w:ascii="Times New Roman" w:eastAsia="仿宋_GB2312" w:hint="eastAsia"/>
          <w:sz w:val="32"/>
          <w:szCs w:val="32"/>
        </w:rPr>
        <w:t>同时，</w:t>
      </w:r>
      <w:r w:rsidRPr="003D2E02">
        <w:rPr>
          <w:rFonts w:ascii="Times New Roman" w:eastAsia="仿宋_GB2312" w:hint="eastAsia"/>
          <w:sz w:val="32"/>
          <w:szCs w:val="32"/>
        </w:rPr>
        <w:t>业委会作为社区自治组织，其应当发挥好在物业服务企业、业主以及居委会之间的沟通、协调作用，但是由于业委会成立流程</w:t>
      </w:r>
      <w:r w:rsidR="0059030B">
        <w:rPr>
          <w:rFonts w:ascii="Times New Roman" w:eastAsia="仿宋_GB2312" w:hint="eastAsia"/>
          <w:sz w:val="32"/>
          <w:szCs w:val="32"/>
        </w:rPr>
        <w:t>繁琐且周期较长，尤其是在一些空置率较高的小区，成立业委会的希望</w:t>
      </w:r>
      <w:r w:rsidR="0087781C">
        <w:rPr>
          <w:rFonts w:ascii="Times New Roman" w:eastAsia="仿宋_GB2312" w:hint="eastAsia"/>
          <w:sz w:val="32"/>
          <w:szCs w:val="32"/>
        </w:rPr>
        <w:t>更为渺茫。即使是在已经成立业委会的小区，又因其自我</w:t>
      </w:r>
      <w:r w:rsidRPr="003D2E02">
        <w:rPr>
          <w:rFonts w:ascii="Times New Roman" w:eastAsia="仿宋_GB2312" w:hint="eastAsia"/>
          <w:sz w:val="32"/>
          <w:szCs w:val="32"/>
        </w:rPr>
        <w:t>管理和约束机制尚未健全，导致纠纷前端自治不足，大量案件最终走向诉讼程序。</w:t>
      </w:r>
    </w:p>
    <w:p w:rsidR="00A875E0" w:rsidRPr="001150FE" w:rsidRDefault="00A875E0"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（二）物业纠纷源头治理的制约因素</w:t>
      </w:r>
    </w:p>
    <w:p w:rsidR="00A875E0" w:rsidRDefault="00A875E0" w:rsidP="000108ED">
      <w:pPr>
        <w:pStyle w:val="a6"/>
        <w:spacing w:line="520" w:lineRule="exact"/>
        <w:ind w:left="562" w:firstLineChars="0" w:firstLine="0"/>
        <w:rPr>
          <w:rFonts w:ascii="Times New Roman" w:eastAsia="仿宋_GB2312" w:hAnsi="Times New Roman"/>
          <w:sz w:val="32"/>
          <w:szCs w:val="32"/>
        </w:rPr>
      </w:pPr>
      <w:r w:rsidRPr="00205345">
        <w:rPr>
          <w:rFonts w:ascii="Times New Roman" w:eastAsia="仿宋_GB2312" w:hAnsi="Times New Roman" w:hint="eastAsia"/>
          <w:sz w:val="32"/>
          <w:szCs w:val="32"/>
        </w:rPr>
        <w:t>1</w:t>
      </w:r>
      <w:r w:rsidR="00FE1FBB">
        <w:rPr>
          <w:rFonts w:ascii="Times New Roman" w:eastAsia="仿宋_GB2312" w:hAnsi="Times New Roman" w:hint="eastAsia"/>
          <w:sz w:val="32"/>
          <w:szCs w:val="32"/>
        </w:rPr>
        <w:t>.</w:t>
      </w:r>
      <w:r w:rsidRPr="00205345">
        <w:rPr>
          <w:rFonts w:ascii="Times New Roman" w:eastAsia="仿宋_GB2312" w:hAnsi="Times New Roman" w:hint="eastAsia"/>
          <w:sz w:val="32"/>
          <w:szCs w:val="32"/>
        </w:rPr>
        <w:t>理念</w:t>
      </w:r>
      <w:r>
        <w:rPr>
          <w:rFonts w:ascii="Times New Roman" w:eastAsia="仿宋_GB2312" w:hAnsi="Times New Roman" w:hint="eastAsia"/>
          <w:sz w:val="32"/>
          <w:szCs w:val="32"/>
        </w:rPr>
        <w:t>认识：重办案轻治理的</w:t>
      </w:r>
      <w:r w:rsidR="00C7063B">
        <w:rPr>
          <w:rFonts w:ascii="Times New Roman" w:eastAsia="仿宋_GB2312" w:hAnsi="Times New Roman" w:hint="eastAsia"/>
          <w:sz w:val="32"/>
          <w:szCs w:val="32"/>
        </w:rPr>
        <w:t>观念</w:t>
      </w:r>
      <w:r>
        <w:rPr>
          <w:rFonts w:ascii="Times New Roman" w:eastAsia="仿宋_GB2312" w:hAnsi="Times New Roman" w:hint="eastAsia"/>
          <w:sz w:val="32"/>
          <w:szCs w:val="32"/>
        </w:rPr>
        <w:t>仍然存在</w:t>
      </w:r>
    </w:p>
    <w:p w:rsidR="00A875E0" w:rsidRDefault="00A875E0" w:rsidP="00EB35CE">
      <w:pPr>
        <w:pStyle w:val="a6"/>
        <w:spacing w:line="520" w:lineRule="exact"/>
        <w:ind w:firstLine="640"/>
        <w:contextualSpacing/>
        <w:rPr>
          <w:rFonts w:ascii="Times New Roman" w:eastAsia="仿宋_GB2312" w:hAnsi="Times New Roman"/>
          <w:sz w:val="32"/>
          <w:szCs w:val="32"/>
        </w:rPr>
      </w:pPr>
      <w:r>
        <w:rPr>
          <w:rFonts w:ascii="Times New Roman" w:eastAsia="仿宋_GB2312" w:hint="eastAsia"/>
          <w:sz w:val="32"/>
          <w:szCs w:val="32"/>
        </w:rPr>
        <w:t>在民商事审判过程中，</w:t>
      </w:r>
      <w:r w:rsidRPr="00D83766">
        <w:rPr>
          <w:rFonts w:ascii="Times New Roman" w:eastAsia="仿宋_GB2312" w:hint="eastAsia"/>
          <w:sz w:val="32"/>
          <w:szCs w:val="32"/>
        </w:rPr>
        <w:t>部分法官实质性解纷理念不强，仅停</w:t>
      </w:r>
      <w:r w:rsidR="004F51F1">
        <w:rPr>
          <w:rFonts w:ascii="Times New Roman" w:eastAsia="仿宋_GB2312" w:hint="eastAsia"/>
          <w:sz w:val="32"/>
          <w:szCs w:val="32"/>
        </w:rPr>
        <w:t>留在</w:t>
      </w:r>
      <w:r w:rsidRPr="00D83766">
        <w:rPr>
          <w:rFonts w:ascii="Times New Roman" w:eastAsia="仿宋_GB2312" w:hint="eastAsia"/>
          <w:sz w:val="32"/>
          <w:szCs w:val="32"/>
        </w:rPr>
        <w:t>“就案办案”，而忽略了运用判前释法、判后答疑、司法建议等其他手段并减相关程序</w:t>
      </w:r>
      <w:r>
        <w:rPr>
          <w:rFonts w:ascii="Times New Roman" w:eastAsia="仿宋_GB2312" w:hint="eastAsia"/>
          <w:sz w:val="32"/>
          <w:szCs w:val="32"/>
        </w:rPr>
        <w:t>，一揽子处理关联纠纷争议，导致出现</w:t>
      </w:r>
      <w:r w:rsidRPr="003D2E02">
        <w:rPr>
          <w:rFonts w:ascii="Times New Roman" w:eastAsia="仿宋_GB2312" w:hAnsi="Times New Roman" w:hint="eastAsia"/>
          <w:sz w:val="32"/>
          <w:szCs w:val="32"/>
        </w:rPr>
        <w:t>循环诉讼、程序空转等问题</w:t>
      </w:r>
      <w:r w:rsidR="004F51F1">
        <w:rPr>
          <w:rFonts w:ascii="Times New Roman" w:eastAsia="仿宋_GB2312" w:hAnsi="Times New Roman" w:hint="eastAsia"/>
          <w:sz w:val="32"/>
          <w:szCs w:val="32"/>
        </w:rPr>
        <w:t>。</w:t>
      </w:r>
      <w:r w:rsidRPr="00836055">
        <w:rPr>
          <w:rFonts w:ascii="Times New Roman" w:eastAsia="仿宋_GB2312" w:hAnsi="Times New Roman" w:hint="eastAsia"/>
          <w:sz w:val="32"/>
          <w:szCs w:val="32"/>
        </w:rPr>
        <w:t>法院作出的裁判虽然能做到“案结”，</w:t>
      </w:r>
      <w:r>
        <w:rPr>
          <w:rFonts w:ascii="Times New Roman" w:eastAsia="仿宋_GB2312" w:hAnsi="Times New Roman" w:hint="eastAsia"/>
          <w:sz w:val="32"/>
          <w:szCs w:val="32"/>
        </w:rPr>
        <w:t>但如不</w:t>
      </w:r>
      <w:r w:rsidRPr="00836055">
        <w:rPr>
          <w:rFonts w:ascii="Times New Roman" w:eastAsia="仿宋_GB2312" w:hAnsi="Times New Roman" w:hint="eastAsia"/>
          <w:sz w:val="32"/>
          <w:szCs w:val="32"/>
        </w:rPr>
        <w:t>对业主反馈的小区治理问题进行</w:t>
      </w:r>
      <w:r w:rsidR="00A82820">
        <w:rPr>
          <w:rFonts w:ascii="Times New Roman" w:eastAsia="仿宋_GB2312" w:hAnsi="Times New Roman" w:hint="eastAsia"/>
          <w:sz w:val="32"/>
          <w:szCs w:val="32"/>
        </w:rPr>
        <w:t>反馈、</w:t>
      </w:r>
      <w:r w:rsidRPr="00836055">
        <w:rPr>
          <w:rFonts w:ascii="Times New Roman" w:eastAsia="仿宋_GB2312" w:hAnsi="Times New Roman" w:hint="eastAsia"/>
          <w:sz w:val="32"/>
          <w:szCs w:val="32"/>
        </w:rPr>
        <w:t>回应，将</w:t>
      </w:r>
      <w:r>
        <w:rPr>
          <w:rFonts w:ascii="Times New Roman" w:eastAsia="仿宋_GB2312" w:hAnsi="Times New Roman" w:hint="eastAsia"/>
          <w:sz w:val="32"/>
          <w:szCs w:val="32"/>
        </w:rPr>
        <w:t>无法对</w:t>
      </w:r>
      <w:r w:rsidRPr="00836055">
        <w:rPr>
          <w:rFonts w:ascii="Times New Roman" w:eastAsia="仿宋_GB2312" w:hAnsi="Times New Roman" w:hint="eastAsia"/>
          <w:sz w:val="32"/>
          <w:szCs w:val="32"/>
        </w:rPr>
        <w:t>双方的矛盾进行实质性化解，从而达到“事了”的效果。</w:t>
      </w:r>
    </w:p>
    <w:p w:rsidR="00A875E0" w:rsidRPr="003D2E02" w:rsidRDefault="00A875E0" w:rsidP="000108ED">
      <w:pPr>
        <w:spacing w:line="520" w:lineRule="exact"/>
        <w:ind w:left="560"/>
        <w:rPr>
          <w:rFonts w:ascii="Times New Roman" w:eastAsia="仿宋_GB2312" w:hAnsi="Times New Roman"/>
          <w:sz w:val="32"/>
          <w:szCs w:val="32"/>
        </w:rPr>
      </w:pPr>
      <w:r w:rsidRPr="003D2E02">
        <w:rPr>
          <w:rFonts w:ascii="Times New Roman" w:eastAsia="仿宋_GB2312" w:hAnsi="Times New Roman" w:hint="eastAsia"/>
          <w:sz w:val="32"/>
          <w:szCs w:val="32"/>
        </w:rPr>
        <w:t>2.</w:t>
      </w:r>
      <w:r w:rsidRPr="003D2E02">
        <w:rPr>
          <w:rFonts w:ascii="Times New Roman" w:eastAsia="仿宋_GB2312" w:hAnsi="Times New Roman" w:hint="eastAsia"/>
          <w:sz w:val="32"/>
          <w:szCs w:val="32"/>
        </w:rPr>
        <w:t>内部</w:t>
      </w:r>
      <w:r>
        <w:rPr>
          <w:rFonts w:ascii="Times New Roman" w:eastAsia="仿宋_GB2312" w:hAnsi="Times New Roman" w:hint="eastAsia"/>
          <w:sz w:val="32"/>
          <w:szCs w:val="32"/>
        </w:rPr>
        <w:t>机制</w:t>
      </w:r>
      <w:r w:rsidRPr="003D2E02">
        <w:rPr>
          <w:rFonts w:ascii="Times New Roman" w:eastAsia="仿宋_GB2312" w:hAnsi="Times New Roman" w:hint="eastAsia"/>
          <w:sz w:val="32"/>
          <w:szCs w:val="32"/>
        </w:rPr>
        <w:t>：司法</w:t>
      </w:r>
      <w:r>
        <w:rPr>
          <w:rFonts w:ascii="Times New Roman" w:eastAsia="仿宋_GB2312" w:hAnsi="Times New Roman" w:hint="eastAsia"/>
          <w:sz w:val="32"/>
          <w:szCs w:val="32"/>
        </w:rPr>
        <w:t>解纷</w:t>
      </w:r>
      <w:r w:rsidRPr="003D2E02">
        <w:rPr>
          <w:rFonts w:ascii="Times New Roman" w:eastAsia="仿宋_GB2312" w:hAnsi="Times New Roman" w:hint="eastAsia"/>
          <w:sz w:val="32"/>
          <w:szCs w:val="32"/>
        </w:rPr>
        <w:t>未达到标本兼治效果</w:t>
      </w:r>
    </w:p>
    <w:p w:rsidR="0044732C"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从近几年审结的物业纠纷案数据中也可以直观地看到，虽然物业解纷案件的调撤率和平均审理天数都能达到一个较为理想的水平，但法院仍然会时常感受到批量物业纠纷涌入时的“阵痛”，尤其是一些新型物业纠纷层出不穷，此类纠纷在诉讼主体资格确定、法律政策适用、多元主体利益平衡等方面存在突出问题，一旦</w:t>
      </w:r>
      <w:r>
        <w:rPr>
          <w:rFonts w:ascii="Times New Roman" w:eastAsia="仿宋_GB2312" w:hAnsi="Times New Roman" w:hint="eastAsia"/>
          <w:sz w:val="32"/>
          <w:szCs w:val="32"/>
        </w:rPr>
        <w:t>无法妥善处理，就</w:t>
      </w:r>
      <w:r w:rsidR="00A82820">
        <w:rPr>
          <w:rFonts w:ascii="Times New Roman" w:eastAsia="仿宋_GB2312" w:hAnsi="Times New Roman" w:hint="eastAsia"/>
          <w:sz w:val="32"/>
          <w:szCs w:val="32"/>
        </w:rPr>
        <w:t>容易引发群体性事件</w:t>
      </w:r>
      <w:r w:rsidRPr="003D2E02">
        <w:rPr>
          <w:rFonts w:ascii="Times New Roman" w:eastAsia="仿宋_GB2312" w:hAnsi="Times New Roman" w:hint="eastAsia"/>
          <w:sz w:val="32"/>
          <w:szCs w:val="32"/>
        </w:rPr>
        <w:t>。</w:t>
      </w:r>
      <w:r w:rsidR="0044732C" w:rsidRPr="0044732C">
        <w:rPr>
          <w:rFonts w:ascii="Times New Roman" w:eastAsia="仿宋_GB2312" w:hAnsi="Times New Roman" w:hint="eastAsia"/>
          <w:sz w:val="32"/>
          <w:szCs w:val="32"/>
        </w:rPr>
        <w:t>另外，一些业主希冀于通过法院来给物业服务企业施压，从而让其做出妥协，降低自</w:t>
      </w:r>
      <w:r w:rsidR="0044732C" w:rsidRPr="0044732C">
        <w:rPr>
          <w:rFonts w:ascii="Times New Roman" w:eastAsia="仿宋_GB2312" w:hAnsi="Times New Roman" w:hint="eastAsia"/>
          <w:sz w:val="32"/>
          <w:szCs w:val="32"/>
        </w:rPr>
        <w:lastRenderedPageBreak/>
        <w:t>身违约成本</w:t>
      </w:r>
      <w:r w:rsidR="0044732C">
        <w:rPr>
          <w:rFonts w:ascii="Times New Roman" w:eastAsia="仿宋_GB2312" w:hAnsi="Times New Roman" w:hint="eastAsia"/>
          <w:sz w:val="32"/>
          <w:szCs w:val="32"/>
        </w:rPr>
        <w:t>。</w:t>
      </w:r>
      <w:r w:rsidR="0059030B">
        <w:rPr>
          <w:rFonts w:ascii="Times New Roman" w:eastAsia="仿宋_GB2312" w:hAnsi="Times New Roman" w:hint="eastAsia"/>
          <w:sz w:val="32"/>
          <w:szCs w:val="32"/>
        </w:rPr>
        <w:t>但司法裁判有时</w:t>
      </w:r>
      <w:r w:rsidR="0087781C">
        <w:rPr>
          <w:rFonts w:ascii="Times New Roman" w:eastAsia="仿宋_GB2312" w:hAnsi="Times New Roman" w:hint="eastAsia"/>
          <w:sz w:val="32"/>
          <w:szCs w:val="32"/>
        </w:rPr>
        <w:t>并不能对</w:t>
      </w:r>
      <w:r w:rsidR="0044732C" w:rsidRPr="0044732C">
        <w:rPr>
          <w:rFonts w:ascii="Times New Roman" w:eastAsia="仿宋_GB2312" w:hAnsi="Times New Roman" w:hint="eastAsia"/>
          <w:sz w:val="32"/>
          <w:szCs w:val="32"/>
        </w:rPr>
        <w:t>当事人所争议的事实如物业服务质量的标准</w:t>
      </w:r>
      <w:r w:rsidR="0087781C">
        <w:rPr>
          <w:rFonts w:ascii="Times New Roman" w:eastAsia="仿宋_GB2312" w:hAnsi="Times New Roman" w:hint="eastAsia"/>
          <w:sz w:val="32"/>
          <w:szCs w:val="32"/>
        </w:rPr>
        <w:t>等</w:t>
      </w:r>
      <w:r w:rsidR="0044732C" w:rsidRPr="0044732C">
        <w:rPr>
          <w:rFonts w:ascii="Times New Roman" w:eastAsia="仿宋_GB2312" w:hAnsi="Times New Roman" w:hint="eastAsia"/>
          <w:sz w:val="32"/>
          <w:szCs w:val="32"/>
        </w:rPr>
        <w:t>问题予以明晰，</w:t>
      </w:r>
      <w:r w:rsidR="0044732C">
        <w:rPr>
          <w:rFonts w:ascii="Times New Roman" w:eastAsia="仿宋_GB2312" w:hAnsi="Times New Roman" w:hint="eastAsia"/>
          <w:sz w:val="32"/>
          <w:szCs w:val="32"/>
        </w:rPr>
        <w:t>导致</w:t>
      </w:r>
      <w:r w:rsidR="00EB35CE">
        <w:rPr>
          <w:rFonts w:ascii="Times New Roman" w:eastAsia="仿宋_GB2312" w:hAnsi="Times New Roman" w:hint="eastAsia"/>
          <w:sz w:val="32"/>
          <w:szCs w:val="32"/>
        </w:rPr>
        <w:t>当事人</w:t>
      </w:r>
      <w:r w:rsidR="00A82820">
        <w:rPr>
          <w:rFonts w:ascii="Times New Roman" w:eastAsia="仿宋_GB2312" w:hAnsi="Times New Roman" w:hint="eastAsia"/>
          <w:sz w:val="32"/>
          <w:szCs w:val="32"/>
        </w:rPr>
        <w:t>之间的矛盾难以钝化，</w:t>
      </w:r>
      <w:r w:rsidR="00A82820" w:rsidRPr="003D2E02">
        <w:rPr>
          <w:rFonts w:ascii="Times New Roman" w:eastAsia="仿宋_GB2312" w:hAnsi="Times New Roman" w:hint="eastAsia"/>
          <w:sz w:val="32"/>
          <w:szCs w:val="32"/>
        </w:rPr>
        <w:t>纠纷化解调处难度较大</w:t>
      </w:r>
      <w:r w:rsidR="0044732C">
        <w:rPr>
          <w:rFonts w:ascii="Times New Roman" w:eastAsia="仿宋_GB2312" w:hAnsi="Times New Roman" w:hint="eastAsia"/>
          <w:sz w:val="32"/>
          <w:szCs w:val="32"/>
        </w:rPr>
        <w:t>。</w:t>
      </w:r>
    </w:p>
    <w:p w:rsidR="00A875E0" w:rsidRPr="003D2E02" w:rsidRDefault="00A875E0" w:rsidP="00FC1369">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sidRPr="003D2E02">
        <w:rPr>
          <w:rFonts w:ascii="Times New Roman" w:eastAsia="仿宋_GB2312" w:hAnsi="Times New Roman" w:hint="eastAsia"/>
          <w:sz w:val="32"/>
          <w:szCs w:val="32"/>
        </w:rPr>
        <w:t>外部</w:t>
      </w:r>
      <w:r>
        <w:rPr>
          <w:rFonts w:ascii="Times New Roman" w:eastAsia="仿宋_GB2312" w:hAnsi="Times New Roman" w:hint="eastAsia"/>
          <w:sz w:val="32"/>
          <w:szCs w:val="32"/>
        </w:rPr>
        <w:t>环境</w:t>
      </w:r>
      <w:r w:rsidRPr="003D2E02">
        <w:rPr>
          <w:rFonts w:ascii="Times New Roman" w:eastAsia="仿宋_GB2312" w:hAnsi="Times New Roman" w:hint="eastAsia"/>
          <w:sz w:val="32"/>
          <w:szCs w:val="32"/>
        </w:rPr>
        <w:t>：多方协同机制运行实效不理想</w:t>
      </w:r>
    </w:p>
    <w:p w:rsidR="00434CDC" w:rsidRDefault="00A875E0" w:rsidP="00FC1369">
      <w:pPr>
        <w:spacing w:line="520" w:lineRule="exact"/>
        <w:ind w:firstLineChars="200" w:firstLine="640"/>
        <w:rPr>
          <w:rFonts w:ascii="Times New Roman" w:eastAsia="仿宋_GB2312" w:hAnsi="Times New Roman"/>
          <w:sz w:val="32"/>
          <w:szCs w:val="32"/>
        </w:rPr>
      </w:pPr>
      <w:r w:rsidRPr="003D2E02">
        <w:rPr>
          <w:rFonts w:ascii="Times New Roman" w:eastAsia="仿宋_GB2312" w:hAnsi="Times New Roman" w:hint="eastAsia"/>
          <w:sz w:val="32"/>
          <w:szCs w:val="32"/>
        </w:rPr>
        <w:t>在相关政策的导向下，不少法院都结合自身实际情况，针对物业纠纷</w:t>
      </w:r>
      <w:r w:rsidR="00B83503">
        <w:rPr>
          <w:rFonts w:ascii="Times New Roman" w:eastAsia="仿宋_GB2312" w:hAnsi="Times New Roman" w:hint="eastAsia"/>
          <w:sz w:val="32"/>
          <w:szCs w:val="32"/>
        </w:rPr>
        <w:t>多元</w:t>
      </w:r>
      <w:r w:rsidRPr="003D2E02">
        <w:rPr>
          <w:rFonts w:ascii="Times New Roman" w:eastAsia="仿宋_GB2312" w:hAnsi="Times New Roman" w:hint="eastAsia"/>
          <w:sz w:val="32"/>
          <w:szCs w:val="32"/>
        </w:rPr>
        <w:t>化解建立了一整套复杂的制度体系，如畅通与其他部门的沟通协调机制、建立诉前多元解纷联动衔接机制、设立专业化调解平台等。但从实际运行效果上来看，仍</w:t>
      </w:r>
      <w:r>
        <w:rPr>
          <w:rFonts w:ascii="Times New Roman" w:eastAsia="仿宋_GB2312" w:hAnsi="Times New Roman" w:hint="eastAsia"/>
          <w:sz w:val="32"/>
          <w:szCs w:val="32"/>
        </w:rPr>
        <w:t>有进一步提升空间</w:t>
      </w:r>
      <w:r w:rsidR="001A012F">
        <w:rPr>
          <w:rFonts w:ascii="Times New Roman" w:eastAsia="仿宋_GB2312" w:hAnsi="Times New Roman" w:hint="eastAsia"/>
          <w:sz w:val="32"/>
          <w:szCs w:val="32"/>
        </w:rPr>
        <w:t>。具体表现在：其一，</w:t>
      </w:r>
      <w:r w:rsidRPr="003D2E02">
        <w:rPr>
          <w:rFonts w:ascii="Times New Roman" w:eastAsia="仿宋_GB2312" w:hAnsi="Times New Roman" w:hint="eastAsia"/>
          <w:sz w:val="32"/>
          <w:szCs w:val="32"/>
        </w:rPr>
        <w:t>多元解纷联动效应不足。存在不少在联动机制中应当与法院通力合作的机构、部门出于自身利益的考量“联而不动”“对而不接”。其二，部分调解平台运行缺乏实效。有部分法院虽设置了相关调解工作室，但未充实专业非诉解纷力量，有的法院未做实</w:t>
      </w:r>
      <w:r w:rsidR="00B84C36">
        <w:rPr>
          <w:rFonts w:ascii="Times New Roman" w:eastAsia="仿宋_GB2312" w:hAnsi="Times New Roman" w:hint="eastAsia"/>
          <w:sz w:val="32"/>
          <w:szCs w:val="32"/>
        </w:rPr>
        <w:t>法定指导调解职能，安排有相关经验的法官给调解人员提供专业性指导。</w:t>
      </w:r>
      <w:r w:rsidRPr="003D2E02">
        <w:rPr>
          <w:rFonts w:ascii="Times New Roman" w:eastAsia="仿宋_GB2312" w:hAnsi="Times New Roman" w:hint="eastAsia"/>
          <w:sz w:val="32"/>
          <w:szCs w:val="32"/>
        </w:rPr>
        <w:t>与此同时，</w:t>
      </w:r>
      <w:r w:rsidRPr="003D2E02">
        <w:rPr>
          <w:rFonts w:ascii="Times New Roman" w:eastAsia="仿宋_GB2312" w:hint="eastAsia"/>
          <w:sz w:val="32"/>
          <w:szCs w:val="32"/>
        </w:rPr>
        <w:t>基层相关职能机构</w:t>
      </w:r>
      <w:r w:rsidRPr="00836055">
        <w:rPr>
          <w:rFonts w:ascii="Times New Roman" w:eastAsia="仿宋_GB2312" w:hAnsi="Times New Roman" w:hint="eastAsia"/>
          <w:sz w:val="32"/>
          <w:szCs w:val="32"/>
        </w:rPr>
        <w:t>人员少、兼职多、任务重等现象依旧普遍存在，调解人员素质参差不齐、</w:t>
      </w:r>
      <w:r w:rsidRPr="003D2E02">
        <w:rPr>
          <w:rFonts w:ascii="Times New Roman" w:eastAsia="仿宋_GB2312" w:hAnsi="Times New Roman" w:hint="eastAsia"/>
          <w:sz w:val="32"/>
          <w:szCs w:val="32"/>
        </w:rPr>
        <w:t>经费保障不足</w:t>
      </w:r>
      <w:r w:rsidRPr="00836055">
        <w:rPr>
          <w:rFonts w:ascii="Times New Roman" w:eastAsia="仿宋_GB2312" w:hAnsi="Times New Roman" w:hint="eastAsia"/>
          <w:sz w:val="32"/>
          <w:szCs w:val="32"/>
        </w:rPr>
        <w:t>等因素也在一定程度上削</w:t>
      </w:r>
      <w:r>
        <w:rPr>
          <w:rFonts w:ascii="Times New Roman" w:eastAsia="仿宋_GB2312" w:hAnsi="Times New Roman" w:hint="eastAsia"/>
          <w:sz w:val="32"/>
          <w:szCs w:val="32"/>
        </w:rPr>
        <w:t>弱了物业纠纷解纷能力</w:t>
      </w:r>
      <w:r w:rsidRPr="003D2E02">
        <w:rPr>
          <w:rFonts w:ascii="Times New Roman" w:eastAsia="仿宋_GB2312" w:hAnsi="Times New Roman" w:hint="eastAsia"/>
          <w:sz w:val="32"/>
          <w:szCs w:val="32"/>
        </w:rPr>
        <w:t>，从而阻碍诉调对接工作的开展。</w:t>
      </w:r>
    </w:p>
    <w:p w:rsidR="00A875E0" w:rsidRPr="003D2E02" w:rsidRDefault="00B95697" w:rsidP="00FC1369">
      <w:pPr>
        <w:spacing w:line="520" w:lineRule="exact"/>
        <w:ind w:firstLineChars="200" w:firstLine="640"/>
        <w:rPr>
          <w:rFonts w:ascii="黑体" w:eastAsia="黑体" w:hAnsi="黑体"/>
          <w:sz w:val="32"/>
          <w:szCs w:val="32"/>
        </w:rPr>
      </w:pPr>
      <w:r>
        <w:rPr>
          <w:rFonts w:ascii="黑体" w:eastAsia="黑体" w:hAnsi="黑体" w:hint="eastAsia"/>
          <w:sz w:val="32"/>
          <w:szCs w:val="32"/>
        </w:rPr>
        <w:t>三</w:t>
      </w:r>
      <w:r w:rsidR="00A875E0" w:rsidRPr="003D2E02">
        <w:rPr>
          <w:rFonts w:ascii="黑体" w:eastAsia="黑体" w:hAnsi="黑体" w:hint="eastAsia"/>
          <w:sz w:val="32"/>
          <w:szCs w:val="32"/>
        </w:rPr>
        <w:t>、物业纠纷源头治理的体系构建</w:t>
      </w:r>
    </w:p>
    <w:p w:rsidR="00A875E0" w:rsidRPr="003D2E02" w:rsidRDefault="00A875E0" w:rsidP="00FC1369">
      <w:pPr>
        <w:spacing w:line="520" w:lineRule="exact"/>
        <w:ind w:firstLineChars="200" w:firstLine="640"/>
        <w:rPr>
          <w:rFonts w:ascii="Times New Roman" w:eastAsia="仿宋_GB2312"/>
          <w:sz w:val="32"/>
          <w:szCs w:val="32"/>
        </w:rPr>
      </w:pPr>
      <w:r w:rsidRPr="003D2E02">
        <w:rPr>
          <w:rFonts w:ascii="Times New Roman" w:eastAsia="仿宋_GB2312" w:hint="eastAsia"/>
          <w:sz w:val="32"/>
          <w:szCs w:val="32"/>
        </w:rPr>
        <w:t>基于物业纠纷的特点、产生的成因和目前法院在源头治理方面存在的不足，完善物业纠纷源头治理，需要立足国家治理、社会治理的高度去设计和实施，通过完善诉内之治，拓展诉外之治，让纠纷化于诉外、终于诉内，最终形成物业纠纷源头治理多元共治新格局。</w:t>
      </w:r>
    </w:p>
    <w:p w:rsidR="00A875E0" w:rsidRPr="001150FE" w:rsidRDefault="00A875E0"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（一）物业纠纷源头治理的工作思路</w:t>
      </w:r>
    </w:p>
    <w:p w:rsidR="00A875E0" w:rsidRDefault="00A875E0" w:rsidP="00FC1369">
      <w:pPr>
        <w:spacing w:line="520" w:lineRule="exact"/>
        <w:ind w:firstLineChars="200" w:firstLine="640"/>
        <w:rPr>
          <w:rFonts w:ascii="Times New Roman" w:eastAsia="仿宋_GB2312"/>
          <w:bCs/>
          <w:sz w:val="32"/>
          <w:szCs w:val="32"/>
        </w:rPr>
      </w:pPr>
      <w:r>
        <w:rPr>
          <w:rFonts w:ascii="Times New Roman" w:eastAsia="仿宋_GB2312" w:hint="eastAsia"/>
          <w:bCs/>
          <w:sz w:val="32"/>
          <w:szCs w:val="32"/>
        </w:rPr>
        <w:lastRenderedPageBreak/>
        <w:t>一是下好“一盘棋”。强化统筹协调，注重解析物业纠纷成因，善于从物业纠纷发现问题，精准了解物业纠纷产生的症结，推动实现“解决一案、化解一片”的效果。加强物业纠纷案件审判的专业化建设，</w:t>
      </w:r>
      <w:r w:rsidR="002A5EDD">
        <w:rPr>
          <w:rFonts w:ascii="Times New Roman" w:eastAsia="仿宋_GB2312" w:hint="eastAsia"/>
          <w:bCs/>
          <w:sz w:val="32"/>
          <w:szCs w:val="32"/>
        </w:rPr>
        <w:t>通过</w:t>
      </w:r>
      <w:r w:rsidR="00834344">
        <w:rPr>
          <w:rFonts w:ascii="Times New Roman" w:eastAsia="仿宋_GB2312" w:hint="eastAsia"/>
          <w:bCs/>
          <w:sz w:val="32"/>
          <w:szCs w:val="32"/>
        </w:rPr>
        <w:t>用足用好</w:t>
      </w:r>
      <w:r w:rsidR="002A5EDD">
        <w:rPr>
          <w:rFonts w:ascii="Times New Roman" w:eastAsia="仿宋_GB2312" w:hint="eastAsia"/>
          <w:bCs/>
          <w:sz w:val="32"/>
          <w:szCs w:val="32"/>
        </w:rPr>
        <w:t>法答网、人民法院案例库</w:t>
      </w:r>
      <w:r w:rsidR="00834344">
        <w:rPr>
          <w:rFonts w:ascii="Times New Roman" w:eastAsia="仿宋_GB2312" w:hint="eastAsia"/>
          <w:bCs/>
          <w:sz w:val="32"/>
          <w:szCs w:val="32"/>
        </w:rPr>
        <w:t>、召开条线会议</w:t>
      </w:r>
      <w:r w:rsidR="00EB35CE">
        <w:rPr>
          <w:rFonts w:ascii="Times New Roman" w:eastAsia="仿宋_GB2312" w:hint="eastAsia"/>
          <w:bCs/>
          <w:sz w:val="32"/>
          <w:szCs w:val="32"/>
        </w:rPr>
        <w:t>、联席会议</w:t>
      </w:r>
      <w:r w:rsidR="002A5EDD">
        <w:rPr>
          <w:rFonts w:ascii="Times New Roman" w:eastAsia="仿宋_GB2312" w:hint="eastAsia"/>
          <w:bCs/>
          <w:sz w:val="32"/>
          <w:szCs w:val="32"/>
        </w:rPr>
        <w:t>等</w:t>
      </w:r>
      <w:r w:rsidR="00834344">
        <w:rPr>
          <w:rFonts w:ascii="Times New Roman" w:eastAsia="仿宋_GB2312" w:hint="eastAsia"/>
          <w:bCs/>
          <w:sz w:val="32"/>
          <w:szCs w:val="32"/>
        </w:rPr>
        <w:t>方式</w:t>
      </w:r>
      <w:r>
        <w:rPr>
          <w:rFonts w:ascii="Times New Roman" w:eastAsia="仿宋_GB2312" w:hint="eastAsia"/>
          <w:bCs/>
          <w:sz w:val="32"/>
          <w:szCs w:val="32"/>
        </w:rPr>
        <w:t>及时研究司法审判中的疑难复杂问题，聚焦破解重难点难题，同时杜绝“就案办案”“打折了事”的简单处理方式，</w:t>
      </w:r>
      <w:r w:rsidR="002A5EDD">
        <w:rPr>
          <w:rFonts w:ascii="Times New Roman" w:eastAsia="仿宋_GB2312" w:hint="eastAsia"/>
          <w:bCs/>
          <w:sz w:val="32"/>
          <w:szCs w:val="32"/>
        </w:rPr>
        <w:t>应当</w:t>
      </w:r>
      <w:r>
        <w:rPr>
          <w:rFonts w:ascii="Times New Roman" w:eastAsia="仿宋_GB2312" w:hint="eastAsia"/>
          <w:bCs/>
          <w:sz w:val="32"/>
          <w:szCs w:val="32"/>
        </w:rPr>
        <w:t>通过电话沟通、实地走访等方式全方位了解纠纷成因。</w:t>
      </w:r>
    </w:p>
    <w:p w:rsidR="00A875E0" w:rsidRDefault="00A875E0" w:rsidP="00FC1369">
      <w:pPr>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二是织密“一张网”。深化与住建部门</w:t>
      </w:r>
      <w:r w:rsidR="00834344">
        <w:rPr>
          <w:rFonts w:ascii="Times New Roman" w:eastAsia="仿宋_GB2312" w:hint="eastAsia"/>
          <w:bCs/>
          <w:sz w:val="32"/>
          <w:szCs w:val="32"/>
        </w:rPr>
        <w:t>、物业行业协会等组织</w:t>
      </w:r>
      <w:r>
        <w:rPr>
          <w:rFonts w:ascii="Times New Roman" w:eastAsia="仿宋_GB2312" w:hint="eastAsia"/>
          <w:bCs/>
          <w:sz w:val="32"/>
          <w:szCs w:val="32"/>
        </w:rPr>
        <w:t>的沟通协作，进一步融合司法资源、行政资源和行业资源，融合纠纷调处、民生保障、推进治理、服务发展等各项功能。延伸服务触角，与人民法院调解平台、江苏微解纷进社区、进网格，审务进基层、法官进网格，巡回审判进小区等工作相结合，在城市管理办事处、街道、社区建设“融诉驿站”等载体，以更小细胞、更广触角融入社会治理体系和源头治理大格局。</w:t>
      </w:r>
    </w:p>
    <w:p w:rsidR="00A875E0" w:rsidRPr="00834344" w:rsidRDefault="00A875E0" w:rsidP="00FC1369">
      <w:pPr>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三是打通“一条链”。针对物业纠纷多为“欠缴物业费</w:t>
      </w:r>
      <w:r w:rsidR="00914B37">
        <w:rPr>
          <w:rFonts w:ascii="Times New Roman" w:eastAsia="仿宋_GB2312" w:hint="eastAsia"/>
          <w:bCs/>
          <w:sz w:val="32"/>
          <w:szCs w:val="32"/>
        </w:rPr>
        <w:t>纠纷</w:t>
      </w:r>
      <w:r>
        <w:rPr>
          <w:rFonts w:ascii="Times New Roman" w:eastAsia="仿宋_GB2312" w:hint="eastAsia"/>
          <w:bCs/>
          <w:sz w:val="32"/>
          <w:szCs w:val="32"/>
        </w:rPr>
        <w:t>”的情况，打造“前端预防、多元调解、</w:t>
      </w:r>
      <w:r w:rsidR="00914B37">
        <w:rPr>
          <w:rFonts w:ascii="Times New Roman" w:eastAsia="仿宋_GB2312" w:hint="eastAsia"/>
          <w:bCs/>
          <w:sz w:val="32"/>
          <w:szCs w:val="32"/>
        </w:rPr>
        <w:t>依法裁判</w:t>
      </w:r>
      <w:r>
        <w:rPr>
          <w:rFonts w:ascii="Times New Roman" w:eastAsia="仿宋_GB2312" w:hint="eastAsia"/>
          <w:bCs/>
          <w:sz w:val="32"/>
          <w:szCs w:val="32"/>
        </w:rPr>
        <w:t>”的矛盾调处工作链，按照物业服务企业</w:t>
      </w:r>
      <w:r w:rsidR="00504EC7">
        <w:rPr>
          <w:rFonts w:ascii="Times New Roman" w:eastAsia="仿宋_GB2312" w:hint="eastAsia"/>
          <w:bCs/>
          <w:sz w:val="32"/>
          <w:szCs w:val="32"/>
        </w:rPr>
        <w:t>先行</w:t>
      </w:r>
      <w:r>
        <w:rPr>
          <w:rFonts w:ascii="Times New Roman" w:eastAsia="仿宋_GB2312" w:hint="eastAsia"/>
          <w:bCs/>
          <w:sz w:val="32"/>
          <w:szCs w:val="32"/>
        </w:rPr>
        <w:t>自查自纠</w:t>
      </w:r>
      <w:r w:rsidR="003E5913">
        <w:rPr>
          <w:rFonts w:ascii="Times New Roman" w:eastAsia="仿宋_GB2312" w:hint="eastAsia"/>
          <w:bCs/>
          <w:sz w:val="32"/>
          <w:szCs w:val="32"/>
        </w:rPr>
        <w:t>→</w:t>
      </w:r>
      <w:r>
        <w:rPr>
          <w:rFonts w:ascii="Times New Roman" w:eastAsia="仿宋_GB2312" w:hint="eastAsia"/>
          <w:bCs/>
          <w:sz w:val="32"/>
          <w:szCs w:val="32"/>
        </w:rPr>
        <w:t>调解员</w:t>
      </w:r>
      <w:r w:rsidR="00504EC7">
        <w:rPr>
          <w:rFonts w:ascii="Times New Roman" w:eastAsia="仿宋_GB2312" w:hint="eastAsia"/>
          <w:bCs/>
          <w:sz w:val="32"/>
          <w:szCs w:val="32"/>
        </w:rPr>
        <w:t>督促服务质量仍不到位的企业限期</w:t>
      </w:r>
      <w:r>
        <w:rPr>
          <w:rFonts w:ascii="Times New Roman" w:eastAsia="仿宋_GB2312" w:hint="eastAsia"/>
          <w:bCs/>
          <w:sz w:val="32"/>
          <w:szCs w:val="32"/>
        </w:rPr>
        <w:t>整改</w:t>
      </w:r>
      <w:r w:rsidR="003E5913">
        <w:rPr>
          <w:rFonts w:ascii="Times New Roman" w:eastAsia="仿宋_GB2312" w:hint="eastAsia"/>
          <w:bCs/>
          <w:sz w:val="32"/>
          <w:szCs w:val="32"/>
        </w:rPr>
        <w:t>→</w:t>
      </w:r>
      <w:r>
        <w:rPr>
          <w:rFonts w:ascii="Times New Roman" w:eastAsia="仿宋_GB2312" w:hint="eastAsia"/>
          <w:bCs/>
          <w:sz w:val="32"/>
          <w:szCs w:val="32"/>
        </w:rPr>
        <w:t>法院</w:t>
      </w:r>
      <w:r w:rsidR="00504EC7">
        <w:rPr>
          <w:rFonts w:ascii="Times New Roman" w:eastAsia="仿宋_GB2312" w:hint="eastAsia"/>
          <w:bCs/>
          <w:sz w:val="32"/>
          <w:szCs w:val="32"/>
        </w:rPr>
        <w:t>与业主进行释明沟通并</w:t>
      </w:r>
      <w:r>
        <w:rPr>
          <w:rFonts w:ascii="Times New Roman" w:eastAsia="仿宋_GB2312" w:hint="eastAsia"/>
          <w:bCs/>
          <w:sz w:val="32"/>
          <w:szCs w:val="32"/>
        </w:rPr>
        <w:t>引导</w:t>
      </w:r>
      <w:r w:rsidR="00504EC7">
        <w:rPr>
          <w:rFonts w:ascii="Times New Roman" w:eastAsia="仿宋_GB2312" w:hint="eastAsia"/>
          <w:bCs/>
          <w:sz w:val="32"/>
          <w:szCs w:val="32"/>
        </w:rPr>
        <w:t>其</w:t>
      </w:r>
      <w:r>
        <w:rPr>
          <w:rFonts w:ascii="Times New Roman" w:eastAsia="仿宋_GB2312" w:hint="eastAsia"/>
          <w:bCs/>
          <w:sz w:val="32"/>
          <w:szCs w:val="32"/>
        </w:rPr>
        <w:t>缴费的工作流程，以物业服务质量提升带动业主缴费意识提升，促进物业服务行业发展进入正向、良性轨道。</w:t>
      </w:r>
    </w:p>
    <w:p w:rsidR="00A875E0" w:rsidRPr="001150FE" w:rsidRDefault="00A875E0"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（二）物业纠纷源头治理的</w:t>
      </w:r>
      <w:r w:rsidR="004E2F5B" w:rsidRPr="001150FE">
        <w:rPr>
          <w:rFonts w:ascii="楷体" w:eastAsia="楷体" w:hAnsi="楷体" w:hint="eastAsia"/>
          <w:sz w:val="32"/>
          <w:szCs w:val="32"/>
        </w:rPr>
        <w:t>实施</w:t>
      </w:r>
      <w:r w:rsidRPr="001150FE">
        <w:rPr>
          <w:rFonts w:ascii="楷体" w:eastAsia="楷体" w:hAnsi="楷体" w:hint="eastAsia"/>
          <w:sz w:val="32"/>
          <w:szCs w:val="32"/>
        </w:rPr>
        <w:t>路径</w:t>
      </w:r>
    </w:p>
    <w:p w:rsidR="00A875E0" w:rsidRDefault="0059030B" w:rsidP="00FC1369">
      <w:pPr>
        <w:spacing w:line="520" w:lineRule="exact"/>
        <w:ind w:firstLineChars="200" w:firstLine="640"/>
        <w:rPr>
          <w:rFonts w:ascii="Times New Roman" w:eastAsia="仿宋_GB2312"/>
          <w:sz w:val="32"/>
          <w:szCs w:val="32"/>
        </w:rPr>
      </w:pPr>
      <w:r>
        <w:rPr>
          <w:rFonts w:ascii="Times New Roman" w:eastAsia="仿宋_GB2312" w:hint="eastAsia"/>
          <w:sz w:val="32"/>
          <w:szCs w:val="32"/>
        </w:rPr>
        <w:t>1.</w:t>
      </w:r>
      <w:r w:rsidR="00A875E0">
        <w:rPr>
          <w:rFonts w:ascii="Times New Roman" w:eastAsia="仿宋_GB2312" w:hint="eastAsia"/>
          <w:sz w:val="32"/>
          <w:szCs w:val="32"/>
        </w:rPr>
        <w:t>凝聚前端多元共治合力</w:t>
      </w:r>
    </w:p>
    <w:p w:rsidR="00A875E0" w:rsidRDefault="00534972" w:rsidP="00FC1369">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（1）</w:t>
      </w:r>
      <w:r w:rsidR="00A875E0" w:rsidRPr="003D2E02">
        <w:rPr>
          <w:rFonts w:ascii="仿宋_GB2312" w:eastAsia="仿宋_GB2312" w:hint="eastAsia"/>
          <w:bCs/>
          <w:sz w:val="32"/>
          <w:szCs w:val="32"/>
        </w:rPr>
        <w:t>建立</w:t>
      </w:r>
      <w:r w:rsidR="0087781C">
        <w:rPr>
          <w:rFonts w:ascii="仿宋_GB2312" w:eastAsia="仿宋_GB2312" w:hint="eastAsia"/>
          <w:bCs/>
          <w:sz w:val="32"/>
          <w:szCs w:val="32"/>
        </w:rPr>
        <w:t>物业</w:t>
      </w:r>
      <w:r w:rsidR="00A875E0" w:rsidRPr="003D2E02">
        <w:rPr>
          <w:rFonts w:ascii="仿宋_GB2312" w:eastAsia="仿宋_GB2312" w:hint="eastAsia"/>
          <w:bCs/>
          <w:sz w:val="32"/>
          <w:szCs w:val="32"/>
        </w:rPr>
        <w:t>纠纷联动化解机制</w:t>
      </w:r>
      <w:r w:rsidR="0087781C">
        <w:rPr>
          <w:rFonts w:ascii="仿宋_GB2312" w:eastAsia="仿宋_GB2312" w:hint="eastAsia"/>
          <w:bCs/>
          <w:sz w:val="32"/>
          <w:szCs w:val="32"/>
        </w:rPr>
        <w:t>。</w:t>
      </w:r>
      <w:r w:rsidR="00A875E0" w:rsidRPr="003D2E02">
        <w:rPr>
          <w:rFonts w:ascii="仿宋_GB2312" w:eastAsia="仿宋_GB2312" w:hint="eastAsia"/>
          <w:bCs/>
          <w:sz w:val="32"/>
          <w:szCs w:val="32"/>
        </w:rPr>
        <w:t>加强日常排查和分析研</w:t>
      </w:r>
      <w:r w:rsidR="00A875E0" w:rsidRPr="003D2E02">
        <w:rPr>
          <w:rFonts w:ascii="仿宋_GB2312" w:eastAsia="仿宋_GB2312" w:hint="eastAsia"/>
          <w:bCs/>
          <w:sz w:val="32"/>
          <w:szCs w:val="32"/>
        </w:rPr>
        <w:lastRenderedPageBreak/>
        <w:t>判工作，对易激化矛盾、引发群体性纠纷或者舆论关注的重大疑难、突发性物业纠纷</w:t>
      </w:r>
      <w:r w:rsidR="009B3448">
        <w:rPr>
          <w:rFonts w:ascii="仿宋_GB2312" w:eastAsia="仿宋_GB2312" w:hint="eastAsia"/>
          <w:bCs/>
          <w:sz w:val="32"/>
          <w:szCs w:val="32"/>
        </w:rPr>
        <w:t>及时进行沟通，必要时互派专门人员进行协调处理，从源头上预防社会</w:t>
      </w:r>
      <w:r w:rsidR="00A875E0" w:rsidRPr="003D2E02">
        <w:rPr>
          <w:rFonts w:ascii="仿宋_GB2312" w:eastAsia="仿宋_GB2312" w:hint="eastAsia"/>
          <w:bCs/>
          <w:sz w:val="32"/>
          <w:szCs w:val="32"/>
        </w:rPr>
        <w:t>稳定风险。</w:t>
      </w:r>
      <w:r w:rsidR="00A875E0">
        <w:rPr>
          <w:rFonts w:ascii="仿宋_GB2312" w:eastAsia="仿宋_GB2312" w:hint="eastAsia"/>
          <w:bCs/>
          <w:sz w:val="32"/>
          <w:szCs w:val="32"/>
        </w:rPr>
        <w:t>探索专业性中立评估体系，引入第三方社会评估，对物业服务标准、物业服务质量评价、物业管理费分级收取等提供司法裁判依据，规范化解物业纠纷。积极构建专家咨询库，针对矛盾纠纷易发、多发的房屋质量、电梯、消防等问题提供专家咨询意见。</w:t>
      </w:r>
    </w:p>
    <w:p w:rsidR="00534972" w:rsidRPr="00534972" w:rsidRDefault="00534972" w:rsidP="00E7323C">
      <w:pPr>
        <w:spacing w:line="520" w:lineRule="exact"/>
        <w:ind w:firstLineChars="200" w:firstLine="640"/>
        <w:rPr>
          <w:rFonts w:ascii="Times New Roman" w:eastAsia="仿宋_GB2312"/>
          <w:bCs/>
          <w:sz w:val="32"/>
          <w:szCs w:val="32"/>
        </w:rPr>
      </w:pPr>
      <w:r w:rsidRPr="00E7323C">
        <w:rPr>
          <w:rFonts w:ascii="仿宋_GB2312" w:eastAsia="仿宋_GB2312" w:hint="eastAsia"/>
          <w:bCs/>
          <w:sz w:val="32"/>
          <w:szCs w:val="32"/>
        </w:rPr>
        <w:t>（2）锻造专业化解纷人才队伍。</w:t>
      </w:r>
      <w:r w:rsidRPr="003D2E02">
        <w:rPr>
          <w:rFonts w:ascii="Times New Roman" w:eastAsia="仿宋_GB2312" w:hint="eastAsia"/>
          <w:bCs/>
          <w:sz w:val="32"/>
          <w:szCs w:val="32"/>
        </w:rPr>
        <w:t>对基层物业纠纷调解员定期开展业务培训，通过开展调解观摩、调解经验交流、业务研讨旁听庭审、邀请联合调解等方式，不断提高人民调解员调处物业纠纷的法律政策水平和调解技巧能力。邀请物业服务管理协会推荐的物业服</w:t>
      </w:r>
      <w:r w:rsidR="00E55B2F">
        <w:rPr>
          <w:rFonts w:ascii="Times New Roman" w:eastAsia="仿宋_GB2312" w:hint="eastAsia"/>
          <w:bCs/>
          <w:sz w:val="32"/>
          <w:szCs w:val="32"/>
        </w:rPr>
        <w:t>务企业工作人员、业主委员会成员等物业领域基层治理参与主体，走进法院</w:t>
      </w:r>
      <w:r w:rsidRPr="003D2E02">
        <w:rPr>
          <w:rFonts w:ascii="Times New Roman" w:eastAsia="仿宋_GB2312" w:hint="eastAsia"/>
          <w:bCs/>
          <w:sz w:val="32"/>
          <w:szCs w:val="32"/>
        </w:rPr>
        <w:t>开展跟班实训，交叉调解物业纠纷案件，强化基层自主依法解纷的内生能力。完善社工实训计划，打造社区法治实训基地</w:t>
      </w:r>
      <w:r w:rsidR="00E55B2F">
        <w:rPr>
          <w:rFonts w:ascii="Times New Roman" w:eastAsia="仿宋_GB2312" w:hint="eastAsia"/>
          <w:bCs/>
          <w:sz w:val="32"/>
          <w:szCs w:val="32"/>
        </w:rPr>
        <w:t>，</w:t>
      </w:r>
      <w:bookmarkStart w:id="0" w:name="_GoBack"/>
      <w:bookmarkEnd w:id="0"/>
      <w:r w:rsidRPr="003D2E02">
        <w:rPr>
          <w:rFonts w:ascii="Times New Roman" w:eastAsia="仿宋_GB2312" w:hint="eastAsia"/>
          <w:bCs/>
          <w:sz w:val="32"/>
          <w:szCs w:val="32"/>
        </w:rPr>
        <w:t>优化培训的各个环节，将业主与物业公司常见纠纷类型、矛盾根源、纠纷调解技巧、相关法律规定融入到培训的内容与实操中，提升基层化解矛盾能力，缓解物业纠纷前端化解时专业力量参与不足的问题。</w:t>
      </w:r>
    </w:p>
    <w:p w:rsidR="00A875E0" w:rsidRDefault="00A875E0" w:rsidP="00FC1369">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2.优化中端高效解纷</w:t>
      </w:r>
      <w:r w:rsidR="00B510E5">
        <w:rPr>
          <w:rFonts w:ascii="仿宋_GB2312" w:eastAsia="仿宋_GB2312" w:hint="eastAsia"/>
          <w:bCs/>
          <w:sz w:val="32"/>
          <w:szCs w:val="32"/>
        </w:rPr>
        <w:t>途径</w:t>
      </w:r>
    </w:p>
    <w:p w:rsidR="00534972" w:rsidRDefault="00534972" w:rsidP="00FC1369">
      <w:pPr>
        <w:spacing w:line="520" w:lineRule="exact"/>
        <w:ind w:firstLineChars="200" w:firstLine="640"/>
        <w:rPr>
          <w:rFonts w:ascii="Times New Roman" w:eastAsia="仿宋_GB2312"/>
          <w:sz w:val="32"/>
          <w:szCs w:val="32"/>
        </w:rPr>
      </w:pPr>
      <w:r>
        <w:rPr>
          <w:rFonts w:ascii="Times New Roman" w:eastAsia="仿宋_GB2312" w:hint="eastAsia"/>
          <w:sz w:val="32"/>
          <w:szCs w:val="32"/>
        </w:rPr>
        <w:t>（</w:t>
      </w:r>
      <w:r>
        <w:rPr>
          <w:rFonts w:ascii="Times New Roman" w:eastAsia="仿宋_GB2312" w:hint="eastAsia"/>
          <w:sz w:val="32"/>
          <w:szCs w:val="32"/>
        </w:rPr>
        <w:t>1</w:t>
      </w:r>
      <w:r>
        <w:rPr>
          <w:rFonts w:ascii="Times New Roman" w:eastAsia="仿宋_GB2312" w:hint="eastAsia"/>
          <w:sz w:val="32"/>
          <w:szCs w:val="32"/>
        </w:rPr>
        <w:t>）</w:t>
      </w:r>
      <w:r w:rsidR="004E2F5B">
        <w:rPr>
          <w:rFonts w:ascii="Times New Roman" w:eastAsia="仿宋_GB2312" w:hint="eastAsia"/>
          <w:sz w:val="32"/>
          <w:szCs w:val="32"/>
        </w:rPr>
        <w:t>提高</w:t>
      </w:r>
      <w:r w:rsidR="00A875E0" w:rsidRPr="00411873">
        <w:rPr>
          <w:rFonts w:ascii="Times New Roman" w:eastAsia="仿宋_GB2312" w:hint="eastAsia"/>
          <w:sz w:val="32"/>
          <w:szCs w:val="32"/>
        </w:rPr>
        <w:t>物业纠纷案件审判质效。</w:t>
      </w:r>
      <w:r w:rsidR="00A875E0" w:rsidRPr="007D4066">
        <w:rPr>
          <w:rFonts w:ascii="Times New Roman" w:eastAsia="仿宋_GB2312" w:hint="eastAsia"/>
          <w:sz w:val="32"/>
          <w:szCs w:val="32"/>
        </w:rPr>
        <w:t>以“如我在诉”的意识</w:t>
      </w:r>
      <w:r w:rsidR="00A875E0">
        <w:rPr>
          <w:rFonts w:ascii="Times New Roman" w:eastAsia="仿宋_GB2312" w:hint="eastAsia"/>
          <w:sz w:val="32"/>
          <w:szCs w:val="32"/>
        </w:rPr>
        <w:t>审理每一个物业小案</w:t>
      </w:r>
      <w:r w:rsidR="00A875E0" w:rsidRPr="007D4066">
        <w:rPr>
          <w:rFonts w:ascii="Times New Roman" w:eastAsia="仿宋_GB2312" w:hint="eastAsia"/>
          <w:sz w:val="32"/>
          <w:szCs w:val="32"/>
        </w:rPr>
        <w:t>。</w:t>
      </w:r>
      <w:r w:rsidR="00A875E0" w:rsidRPr="003D2E02">
        <w:rPr>
          <w:rFonts w:ascii="Times New Roman" w:eastAsia="仿宋_GB2312" w:hint="eastAsia"/>
          <w:sz w:val="32"/>
          <w:szCs w:val="32"/>
        </w:rPr>
        <w:t>完善繁简分流机制，将</w:t>
      </w:r>
      <w:r w:rsidR="00A875E0">
        <w:rPr>
          <w:rFonts w:ascii="Times New Roman" w:eastAsia="仿宋_GB2312" w:hint="eastAsia"/>
          <w:sz w:val="32"/>
          <w:szCs w:val="32"/>
        </w:rPr>
        <w:t>事实清楚</w:t>
      </w:r>
      <w:r w:rsidR="00A875E0" w:rsidRPr="003D2E02">
        <w:rPr>
          <w:rFonts w:ascii="Times New Roman" w:eastAsia="仿宋_GB2312" w:hint="eastAsia"/>
          <w:sz w:val="32"/>
          <w:szCs w:val="32"/>
        </w:rPr>
        <w:t>、</w:t>
      </w:r>
      <w:r w:rsidR="00A875E0">
        <w:rPr>
          <w:rFonts w:ascii="Times New Roman" w:eastAsia="仿宋_GB2312" w:hint="eastAsia"/>
          <w:sz w:val="32"/>
          <w:szCs w:val="32"/>
        </w:rPr>
        <w:t>权利义务关系明确、当事人</w:t>
      </w:r>
      <w:r w:rsidR="00A875E0" w:rsidRPr="003D2E02">
        <w:rPr>
          <w:rFonts w:ascii="Times New Roman" w:eastAsia="仿宋_GB2312" w:hint="eastAsia"/>
          <w:sz w:val="32"/>
          <w:szCs w:val="32"/>
        </w:rPr>
        <w:t>事实争议不大的案件纳入小额诉讼程序，</w:t>
      </w:r>
      <w:r w:rsidR="00A875E0">
        <w:rPr>
          <w:rFonts w:ascii="Times New Roman" w:eastAsia="仿宋_GB2312" w:hint="eastAsia"/>
          <w:sz w:val="32"/>
          <w:szCs w:val="32"/>
        </w:rPr>
        <w:t>适用要素式审判方式审理，</w:t>
      </w:r>
      <w:r w:rsidR="00A875E0" w:rsidRPr="003D2E02">
        <w:rPr>
          <w:rFonts w:ascii="Times New Roman" w:eastAsia="仿宋_GB2312" w:hint="eastAsia"/>
          <w:sz w:val="32"/>
          <w:szCs w:val="32"/>
        </w:rPr>
        <w:t>实现快审速裁，运用</w:t>
      </w:r>
      <w:r w:rsidR="0059030B">
        <w:rPr>
          <w:rFonts w:ascii="Times New Roman" w:eastAsia="仿宋_GB2312" w:hint="eastAsia"/>
          <w:sz w:val="32"/>
          <w:szCs w:val="32"/>
        </w:rPr>
        <w:t>人工</w:t>
      </w:r>
      <w:r w:rsidR="00A875E0" w:rsidRPr="003D2E02">
        <w:rPr>
          <w:rFonts w:ascii="Times New Roman" w:eastAsia="仿宋_GB2312" w:hint="eastAsia"/>
          <w:sz w:val="32"/>
          <w:szCs w:val="32"/>
        </w:rPr>
        <w:t>智能辅助办案系统，严格审限管理，实现简案快办。</w:t>
      </w:r>
    </w:p>
    <w:p w:rsidR="00534972" w:rsidRDefault="00534972" w:rsidP="00FC1369">
      <w:pPr>
        <w:spacing w:line="520" w:lineRule="exact"/>
        <w:ind w:firstLineChars="200" w:firstLine="640"/>
        <w:rPr>
          <w:rFonts w:ascii="Times New Roman" w:eastAsia="仿宋_GB2312"/>
          <w:sz w:val="32"/>
          <w:szCs w:val="32"/>
        </w:rPr>
      </w:pPr>
      <w:r>
        <w:rPr>
          <w:rFonts w:ascii="Times New Roman" w:eastAsia="仿宋_GB2312" w:hint="eastAsia"/>
          <w:sz w:val="32"/>
          <w:szCs w:val="32"/>
        </w:rPr>
        <w:lastRenderedPageBreak/>
        <w:t>（</w:t>
      </w:r>
      <w:r>
        <w:rPr>
          <w:rFonts w:ascii="Times New Roman" w:eastAsia="仿宋_GB2312" w:hint="eastAsia"/>
          <w:sz w:val="32"/>
          <w:szCs w:val="32"/>
        </w:rPr>
        <w:t>2</w:t>
      </w:r>
      <w:r>
        <w:rPr>
          <w:rFonts w:ascii="Times New Roman" w:eastAsia="仿宋_GB2312" w:hint="eastAsia"/>
          <w:sz w:val="32"/>
          <w:szCs w:val="32"/>
        </w:rPr>
        <w:t>）</w:t>
      </w:r>
      <w:r w:rsidR="00D35FEB">
        <w:rPr>
          <w:rFonts w:ascii="Times New Roman" w:eastAsia="仿宋_GB2312" w:hint="eastAsia"/>
          <w:sz w:val="32"/>
          <w:szCs w:val="32"/>
        </w:rPr>
        <w:t>做实指导调解的法定职能</w:t>
      </w:r>
      <w:r w:rsidR="00A875E0">
        <w:rPr>
          <w:rFonts w:ascii="Times New Roman" w:eastAsia="仿宋_GB2312" w:hint="eastAsia"/>
          <w:sz w:val="32"/>
          <w:szCs w:val="32"/>
        </w:rPr>
        <w:t>。</w:t>
      </w:r>
      <w:r w:rsidR="00A875E0" w:rsidRPr="00E77B0D">
        <w:rPr>
          <w:rFonts w:ascii="Times New Roman" w:eastAsia="仿宋_GB2312" w:hint="eastAsia"/>
          <w:sz w:val="32"/>
          <w:szCs w:val="32"/>
        </w:rPr>
        <w:t>加强物业纠纷调解组织的建设和管理，以支持、推动市场化解纷机制建设带动、培育职业化、专业化物业纠纷特邀调解组织建设发展。对于具备调解条件的物业纠纷案件，人民法院可以采取案后委托调解和诉中邀请调解等方式，引导当事人通过特邀调解组织解决纠纷。对于特邀调解组织受理的案情重大、复杂或新类型的物业纠纷，人民法院可以根据邀请，委派法官予以法律指导。经</w:t>
      </w:r>
      <w:r w:rsidR="00A875E0">
        <w:rPr>
          <w:rFonts w:ascii="Times New Roman" w:eastAsia="仿宋_GB2312" w:hint="eastAsia"/>
          <w:sz w:val="32"/>
          <w:szCs w:val="32"/>
        </w:rPr>
        <w:t>调解等</w:t>
      </w:r>
      <w:r w:rsidR="00A875E0" w:rsidRPr="00E77B0D">
        <w:rPr>
          <w:rFonts w:ascii="Times New Roman" w:eastAsia="仿宋_GB2312" w:hint="eastAsia"/>
          <w:sz w:val="32"/>
          <w:szCs w:val="32"/>
        </w:rPr>
        <w:t>达成的具有民事合同性质的协议，</w:t>
      </w:r>
      <w:r w:rsidR="00E001EF">
        <w:rPr>
          <w:rFonts w:ascii="Times New Roman" w:eastAsia="仿宋_GB2312" w:hint="eastAsia"/>
          <w:sz w:val="32"/>
          <w:szCs w:val="32"/>
        </w:rPr>
        <w:t>引导、支持</w:t>
      </w:r>
      <w:r w:rsidR="00A875E0" w:rsidRPr="00E77B0D">
        <w:rPr>
          <w:rFonts w:ascii="Times New Roman" w:eastAsia="仿宋_GB2312" w:hint="eastAsia"/>
          <w:sz w:val="32"/>
          <w:szCs w:val="32"/>
        </w:rPr>
        <w:t>当事人</w:t>
      </w:r>
      <w:r w:rsidR="00E001EF">
        <w:rPr>
          <w:rFonts w:ascii="Times New Roman" w:eastAsia="仿宋_GB2312" w:hint="eastAsia"/>
          <w:sz w:val="32"/>
          <w:szCs w:val="32"/>
        </w:rPr>
        <w:t>及时向法院</w:t>
      </w:r>
      <w:r w:rsidR="00A875E0" w:rsidRPr="00E77B0D">
        <w:rPr>
          <w:rFonts w:ascii="Times New Roman" w:eastAsia="仿宋_GB2312" w:hint="eastAsia"/>
          <w:sz w:val="32"/>
          <w:szCs w:val="32"/>
        </w:rPr>
        <w:t>申请司法确认，</w:t>
      </w:r>
      <w:r w:rsidR="00E001EF">
        <w:rPr>
          <w:rFonts w:ascii="Times New Roman" w:eastAsia="仿宋_GB2312" w:hint="eastAsia"/>
          <w:sz w:val="32"/>
          <w:szCs w:val="32"/>
        </w:rPr>
        <w:t>人民法院确定法官专门对接、高效审查办理</w:t>
      </w:r>
      <w:r w:rsidR="00A875E0" w:rsidRPr="00E77B0D">
        <w:rPr>
          <w:rFonts w:ascii="Times New Roman" w:eastAsia="仿宋_GB2312" w:hint="eastAsia"/>
          <w:sz w:val="32"/>
          <w:szCs w:val="32"/>
        </w:rPr>
        <w:t>。</w:t>
      </w:r>
    </w:p>
    <w:p w:rsidR="00D35FEB" w:rsidRPr="00D35FEB" w:rsidRDefault="00534972" w:rsidP="00FC1369">
      <w:pPr>
        <w:spacing w:line="520" w:lineRule="exact"/>
        <w:ind w:firstLineChars="200" w:firstLine="640"/>
        <w:rPr>
          <w:rFonts w:ascii="Times New Roman" w:eastAsia="仿宋_GB2312"/>
          <w:sz w:val="32"/>
          <w:szCs w:val="32"/>
        </w:rPr>
      </w:pPr>
      <w:r>
        <w:rPr>
          <w:rFonts w:ascii="Times New Roman" w:eastAsia="仿宋_GB2312" w:hint="eastAsia"/>
          <w:sz w:val="32"/>
          <w:szCs w:val="32"/>
        </w:rPr>
        <w:t>（</w:t>
      </w:r>
      <w:r>
        <w:rPr>
          <w:rFonts w:ascii="Times New Roman" w:eastAsia="仿宋_GB2312" w:hint="eastAsia"/>
          <w:sz w:val="32"/>
          <w:szCs w:val="32"/>
        </w:rPr>
        <w:t>3</w:t>
      </w:r>
      <w:r>
        <w:rPr>
          <w:rFonts w:ascii="Times New Roman" w:eastAsia="仿宋_GB2312" w:hint="eastAsia"/>
          <w:sz w:val="32"/>
          <w:szCs w:val="32"/>
        </w:rPr>
        <w:t>）</w:t>
      </w:r>
      <w:r w:rsidR="00B15B85">
        <w:rPr>
          <w:rFonts w:ascii="Times New Roman" w:eastAsia="仿宋_GB2312" w:hint="eastAsia"/>
          <w:sz w:val="32"/>
          <w:szCs w:val="32"/>
        </w:rPr>
        <w:t>发挥示范裁判的引领作用</w:t>
      </w:r>
      <w:r w:rsidR="00D35FEB">
        <w:rPr>
          <w:rFonts w:ascii="Times New Roman" w:eastAsia="仿宋_GB2312" w:hint="eastAsia"/>
          <w:sz w:val="32"/>
          <w:szCs w:val="32"/>
        </w:rPr>
        <w:t>。</w:t>
      </w:r>
      <w:r w:rsidR="00D35FEB" w:rsidRPr="00411873">
        <w:rPr>
          <w:rFonts w:ascii="Times New Roman" w:eastAsia="仿宋_GB2312" w:hint="eastAsia"/>
          <w:sz w:val="32"/>
          <w:szCs w:val="32"/>
        </w:rPr>
        <w:t>充分发挥巡回审判的独特优势，以零距离的“法官说法”“示范诉讼”实现“审理一案，教育一片”的良好效果。健全完善“红蓝档案”机制，将物业公司履职不到位情况记录红色档案，督促其及时整改，将业主无故长期拖欠物业费等行为记录蓝色档案，依法适用滞纳金条款，强化业主依法履约责任，保障物业</w:t>
      </w:r>
      <w:r w:rsidR="0059030B">
        <w:rPr>
          <w:rFonts w:ascii="Times New Roman" w:eastAsia="仿宋_GB2312" w:hint="eastAsia"/>
          <w:sz w:val="32"/>
          <w:szCs w:val="32"/>
        </w:rPr>
        <w:t>服务企业</w:t>
      </w:r>
      <w:r w:rsidR="00D35FEB" w:rsidRPr="00411873">
        <w:rPr>
          <w:rFonts w:ascii="Times New Roman" w:eastAsia="仿宋_GB2312" w:hint="eastAsia"/>
          <w:sz w:val="32"/>
          <w:szCs w:val="32"/>
        </w:rPr>
        <w:t>合法经营权益。</w:t>
      </w:r>
    </w:p>
    <w:p w:rsidR="00A875E0" w:rsidRDefault="00A875E0" w:rsidP="00FC1369">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3.强化后端司法服务跟踪</w:t>
      </w:r>
    </w:p>
    <w:p w:rsidR="005D45AE" w:rsidRDefault="007363AF" w:rsidP="00FC1369">
      <w:pPr>
        <w:spacing w:line="520" w:lineRule="exact"/>
        <w:ind w:firstLineChars="200" w:firstLine="640"/>
        <w:rPr>
          <w:rFonts w:ascii="仿宋_GB2312" w:eastAsia="仿宋_GB2312"/>
          <w:bCs/>
          <w:sz w:val="32"/>
          <w:szCs w:val="32"/>
        </w:rPr>
      </w:pPr>
      <w:r w:rsidRPr="007363AF">
        <w:rPr>
          <w:rFonts w:ascii="仿宋_GB2312" w:eastAsia="仿宋_GB2312" w:hint="eastAsia"/>
          <w:bCs/>
          <w:sz w:val="32"/>
          <w:szCs w:val="32"/>
        </w:rPr>
        <w:t>（1）加强司法建议工作。</w:t>
      </w:r>
      <w:r w:rsidR="0059030B">
        <w:rPr>
          <w:rFonts w:ascii="仿宋_GB2312" w:eastAsia="仿宋_GB2312" w:hint="eastAsia"/>
          <w:bCs/>
          <w:sz w:val="32"/>
          <w:szCs w:val="32"/>
        </w:rPr>
        <w:t>对物业案件审理过程中发现的普遍性、趋势性问题</w:t>
      </w:r>
      <w:r w:rsidR="00A875E0" w:rsidRPr="00981472">
        <w:rPr>
          <w:rFonts w:ascii="仿宋_GB2312" w:eastAsia="仿宋_GB2312" w:hint="eastAsia"/>
          <w:bCs/>
          <w:sz w:val="32"/>
          <w:szCs w:val="32"/>
        </w:rPr>
        <w:t>及时提出司法建议，督促相关部门主动承担完善规则、风险评估、安全生产等责任，避免类案多发频发、防止出现安全问题。对收费标准、服务质量等重要条款约定不明确、不具体的物业服务合同文本，建议并指导物业服务企业在明确不同资质等级行业标准或服务标准的基础上，制定修改详尽的合同格式样本，从源头促进规则明确、品质提升、纠纷预防。</w:t>
      </w:r>
    </w:p>
    <w:p w:rsidR="00A875E0" w:rsidRPr="003D2E02" w:rsidRDefault="005D45AE" w:rsidP="00FC1369">
      <w:pPr>
        <w:spacing w:line="520" w:lineRule="exact"/>
        <w:ind w:firstLineChars="200" w:firstLine="640"/>
        <w:rPr>
          <w:rFonts w:ascii="仿宋_GB2312" w:eastAsia="仿宋_GB2312"/>
          <w:bCs/>
          <w:sz w:val="32"/>
          <w:szCs w:val="32"/>
        </w:rPr>
      </w:pPr>
      <w:r w:rsidRPr="005D45AE">
        <w:rPr>
          <w:rFonts w:ascii="仿宋_GB2312" w:eastAsia="仿宋_GB2312" w:hint="eastAsia"/>
          <w:bCs/>
          <w:sz w:val="32"/>
          <w:szCs w:val="32"/>
        </w:rPr>
        <w:t>（2）</w:t>
      </w:r>
      <w:r w:rsidR="00A875E0" w:rsidRPr="005D45AE">
        <w:rPr>
          <w:rFonts w:ascii="仿宋_GB2312" w:eastAsia="仿宋_GB2312" w:hint="eastAsia"/>
          <w:bCs/>
          <w:sz w:val="32"/>
          <w:szCs w:val="32"/>
        </w:rPr>
        <w:t>加大法治宣传力度。</w:t>
      </w:r>
      <w:r w:rsidR="00A875E0">
        <w:rPr>
          <w:rFonts w:ascii="仿宋_GB2312" w:eastAsia="仿宋_GB2312" w:hint="eastAsia"/>
          <w:bCs/>
          <w:sz w:val="32"/>
          <w:szCs w:val="32"/>
        </w:rPr>
        <w:t>以召开新闻发布会、发布典型案</w:t>
      </w:r>
      <w:r w:rsidR="00A875E0">
        <w:rPr>
          <w:rFonts w:ascii="仿宋_GB2312" w:eastAsia="仿宋_GB2312" w:hint="eastAsia"/>
          <w:bCs/>
          <w:sz w:val="32"/>
          <w:szCs w:val="32"/>
        </w:rPr>
        <w:lastRenderedPageBreak/>
        <w:t>例、与电视台联办栏目等形式</w:t>
      </w:r>
      <w:r w:rsidR="00A875E0" w:rsidRPr="003D2E02">
        <w:rPr>
          <w:rFonts w:ascii="仿宋_GB2312" w:eastAsia="仿宋_GB2312" w:hint="eastAsia"/>
          <w:bCs/>
          <w:sz w:val="32"/>
          <w:szCs w:val="32"/>
        </w:rPr>
        <w:t>开展物业法治宣传活动，避免业主消极缴纳物业费而引发矛盾纠纷。加强对物业管理法律法规和相关知识的宣传，引导业主、物业服务企业理性表达利益诉求，推动物业纠纷在法治轨道上及时、有效解决。以“物业费收缴率”“业主满意率”</w:t>
      </w:r>
      <w:r w:rsidR="00A875E0">
        <w:rPr>
          <w:rFonts w:ascii="仿宋_GB2312" w:eastAsia="仿宋_GB2312" w:hint="eastAsia"/>
          <w:bCs/>
          <w:sz w:val="32"/>
          <w:szCs w:val="32"/>
        </w:rPr>
        <w:t>“物业服务企业涉诉率”</w:t>
      </w:r>
      <w:r w:rsidR="00A875E0" w:rsidRPr="003D2E02">
        <w:rPr>
          <w:rFonts w:ascii="仿宋_GB2312" w:eastAsia="仿宋_GB2312" w:hint="eastAsia"/>
          <w:bCs/>
          <w:sz w:val="32"/>
          <w:szCs w:val="32"/>
        </w:rPr>
        <w:t>等作为评判小区物业服务水平好坏的关键性指标，</w:t>
      </w:r>
      <w:r w:rsidR="00A875E0">
        <w:rPr>
          <w:rFonts w:ascii="仿宋_GB2312" w:eastAsia="仿宋_GB2312" w:hint="eastAsia"/>
          <w:bCs/>
          <w:sz w:val="32"/>
          <w:szCs w:val="32"/>
        </w:rPr>
        <w:t>通过住建部门建立的物业服务“红黑榜”向社会公示，促进形成“优胜劣汰、失信失位”的物业服务市场环境。</w:t>
      </w:r>
    </w:p>
    <w:p w:rsidR="004E2F5B" w:rsidRPr="001150FE" w:rsidRDefault="004E2F5B" w:rsidP="000108ED">
      <w:pPr>
        <w:pStyle w:val="a6"/>
        <w:spacing w:line="520" w:lineRule="exact"/>
        <w:ind w:left="562" w:firstLineChars="0" w:firstLine="0"/>
        <w:rPr>
          <w:rFonts w:ascii="楷体" w:eastAsia="楷体" w:hAnsi="楷体"/>
          <w:sz w:val="32"/>
          <w:szCs w:val="32"/>
        </w:rPr>
      </w:pPr>
      <w:r w:rsidRPr="001150FE">
        <w:rPr>
          <w:rFonts w:ascii="楷体" w:eastAsia="楷体" w:hAnsi="楷体" w:hint="eastAsia"/>
          <w:sz w:val="32"/>
          <w:szCs w:val="32"/>
        </w:rPr>
        <w:t>（三）物业纠纷源头治理的发展方向</w:t>
      </w:r>
    </w:p>
    <w:p w:rsidR="00E001EF" w:rsidRDefault="00E001EF" w:rsidP="000108ED">
      <w:pPr>
        <w:pStyle w:val="a6"/>
        <w:numPr>
          <w:ilvl w:val="0"/>
          <w:numId w:val="2"/>
        </w:numPr>
        <w:spacing w:line="520" w:lineRule="exact"/>
        <w:ind w:firstLineChars="0"/>
        <w:rPr>
          <w:rFonts w:ascii="Times New Roman" w:eastAsia="仿宋_GB2312"/>
          <w:bCs/>
          <w:sz w:val="32"/>
          <w:szCs w:val="32"/>
        </w:rPr>
      </w:pPr>
      <w:r>
        <w:rPr>
          <w:rFonts w:ascii="Times New Roman" w:eastAsia="仿宋_GB2312" w:hint="eastAsia"/>
          <w:bCs/>
          <w:sz w:val="32"/>
          <w:szCs w:val="32"/>
        </w:rPr>
        <w:t>推进</w:t>
      </w:r>
      <w:r w:rsidRPr="00E001EF">
        <w:rPr>
          <w:rFonts w:ascii="Times New Roman" w:eastAsia="仿宋_GB2312" w:hint="eastAsia"/>
          <w:bCs/>
          <w:sz w:val="32"/>
          <w:szCs w:val="32"/>
        </w:rPr>
        <w:t>解纷主体多元化</w:t>
      </w:r>
    </w:p>
    <w:p w:rsidR="0081651A" w:rsidRPr="0081651A" w:rsidRDefault="0081651A" w:rsidP="00FC1369">
      <w:pPr>
        <w:spacing w:line="520" w:lineRule="exact"/>
        <w:ind w:firstLineChars="200" w:firstLine="640"/>
        <w:rPr>
          <w:rFonts w:ascii="Times New Roman" w:eastAsia="仿宋_GB2312"/>
          <w:bCs/>
          <w:sz w:val="32"/>
          <w:szCs w:val="32"/>
        </w:rPr>
      </w:pPr>
      <w:r w:rsidRPr="0081651A">
        <w:rPr>
          <w:rFonts w:ascii="Times New Roman" w:eastAsia="仿宋_GB2312" w:hint="eastAsia"/>
          <w:bCs/>
          <w:sz w:val="32"/>
          <w:szCs w:val="32"/>
        </w:rPr>
        <w:t>在传统的“府院联动”模式的基础上，</w:t>
      </w:r>
      <w:r w:rsidR="00AC38BC">
        <w:rPr>
          <w:rFonts w:ascii="Times New Roman" w:eastAsia="仿宋_GB2312" w:hint="eastAsia"/>
          <w:bCs/>
          <w:sz w:val="32"/>
          <w:szCs w:val="32"/>
        </w:rPr>
        <w:t>可</w:t>
      </w:r>
      <w:r w:rsidR="006C1C1D">
        <w:rPr>
          <w:rFonts w:ascii="Times New Roman" w:eastAsia="仿宋_GB2312" w:hint="eastAsia"/>
          <w:bCs/>
          <w:sz w:val="32"/>
          <w:szCs w:val="32"/>
        </w:rPr>
        <w:t>适时</w:t>
      </w:r>
      <w:r w:rsidRPr="0081651A">
        <w:rPr>
          <w:rFonts w:ascii="Times New Roman" w:eastAsia="仿宋_GB2312" w:hint="eastAsia"/>
          <w:bCs/>
          <w:sz w:val="32"/>
          <w:szCs w:val="32"/>
        </w:rPr>
        <w:t>引入人大</w:t>
      </w:r>
      <w:r w:rsidR="006C1C1D">
        <w:rPr>
          <w:rFonts w:ascii="Times New Roman" w:eastAsia="仿宋_GB2312" w:hint="eastAsia"/>
          <w:bCs/>
          <w:sz w:val="32"/>
          <w:szCs w:val="32"/>
        </w:rPr>
        <w:t>等</w:t>
      </w:r>
      <w:r w:rsidRPr="0081651A">
        <w:rPr>
          <w:rFonts w:ascii="Times New Roman" w:eastAsia="仿宋_GB2312" w:hint="eastAsia"/>
          <w:bCs/>
          <w:sz w:val="32"/>
          <w:szCs w:val="32"/>
        </w:rPr>
        <w:t>力量，进一步</w:t>
      </w:r>
      <w:r w:rsidR="006C1C1D">
        <w:rPr>
          <w:rFonts w:ascii="Times New Roman" w:eastAsia="仿宋_GB2312" w:hint="eastAsia"/>
          <w:bCs/>
          <w:sz w:val="32"/>
          <w:szCs w:val="32"/>
        </w:rPr>
        <w:t>充实</w:t>
      </w:r>
      <w:r w:rsidRPr="0081651A">
        <w:rPr>
          <w:rFonts w:ascii="Times New Roman" w:eastAsia="仿宋_GB2312" w:hint="eastAsia"/>
          <w:bCs/>
          <w:sz w:val="32"/>
          <w:szCs w:val="32"/>
        </w:rPr>
        <w:t>参与主体。构建人大代表参与全方位、多层次的解纷机制，能够推动人民群众解纷需求与人大代表群众优势的精准匹配，拓宽人大代表的履职平台，让代表及时把握基层社会治理的痛点、难点、堵点，切实将人大代表联系群众、监督推动、地方立法等职责与法院多元解纷、审判执行等职能对接融通，实现矛盾就地发现，就地化解。</w:t>
      </w:r>
    </w:p>
    <w:p w:rsidR="00E001EF" w:rsidRDefault="00E001EF" w:rsidP="000108ED">
      <w:pPr>
        <w:pStyle w:val="a6"/>
        <w:numPr>
          <w:ilvl w:val="0"/>
          <w:numId w:val="2"/>
        </w:numPr>
        <w:spacing w:line="520" w:lineRule="exact"/>
        <w:ind w:firstLineChars="0"/>
        <w:rPr>
          <w:rFonts w:ascii="Times New Roman" w:eastAsia="仿宋_GB2312"/>
          <w:bCs/>
          <w:sz w:val="32"/>
          <w:szCs w:val="32"/>
        </w:rPr>
      </w:pPr>
      <w:r>
        <w:rPr>
          <w:rFonts w:ascii="Times New Roman" w:eastAsia="仿宋_GB2312" w:hint="eastAsia"/>
          <w:bCs/>
          <w:sz w:val="32"/>
          <w:szCs w:val="32"/>
        </w:rPr>
        <w:t>推进调处平台品牌化</w:t>
      </w:r>
    </w:p>
    <w:p w:rsidR="0081651A" w:rsidRPr="0081651A" w:rsidRDefault="0081651A" w:rsidP="000108ED">
      <w:pPr>
        <w:spacing w:line="520" w:lineRule="exact"/>
        <w:rPr>
          <w:rFonts w:ascii="Times New Roman" w:eastAsia="仿宋_GB2312"/>
          <w:bCs/>
          <w:sz w:val="32"/>
          <w:szCs w:val="32"/>
        </w:rPr>
      </w:pPr>
      <w:r>
        <w:rPr>
          <w:rFonts w:ascii="Times New Roman" w:eastAsia="仿宋_GB2312" w:hint="eastAsia"/>
          <w:bCs/>
          <w:sz w:val="32"/>
          <w:szCs w:val="32"/>
        </w:rPr>
        <w:t xml:space="preserve">   </w:t>
      </w:r>
      <w:r>
        <w:rPr>
          <w:rFonts w:ascii="Times New Roman" w:eastAsia="仿宋_GB2312" w:hint="eastAsia"/>
          <w:bCs/>
          <w:sz w:val="32"/>
          <w:szCs w:val="32"/>
        </w:rPr>
        <w:t>昆山法院</w:t>
      </w:r>
      <w:r w:rsidR="00FE0C25">
        <w:rPr>
          <w:rFonts w:ascii="Times New Roman" w:eastAsia="仿宋_GB2312" w:hint="eastAsia"/>
          <w:bCs/>
          <w:sz w:val="32"/>
          <w:szCs w:val="32"/>
        </w:rPr>
        <w:t>先行先试，</w:t>
      </w:r>
      <w:r w:rsidR="0059030B">
        <w:rPr>
          <w:rFonts w:ascii="Times New Roman" w:eastAsia="仿宋_GB2312" w:hint="eastAsia"/>
          <w:bCs/>
          <w:sz w:val="32"/>
          <w:szCs w:val="32"/>
        </w:rPr>
        <w:t>联合昆山市住建局</w:t>
      </w:r>
      <w:r>
        <w:rPr>
          <w:rFonts w:ascii="Times New Roman" w:eastAsia="仿宋_GB2312" w:hint="eastAsia"/>
          <w:bCs/>
          <w:sz w:val="32"/>
          <w:szCs w:val="32"/>
        </w:rPr>
        <w:t>共同搭建物业巡回法庭，创新打造“安居乐业”物业纠纷</w:t>
      </w:r>
      <w:r w:rsidR="002E4800">
        <w:rPr>
          <w:rFonts w:ascii="Times New Roman" w:eastAsia="仿宋_GB2312" w:hint="eastAsia"/>
          <w:bCs/>
          <w:sz w:val="32"/>
          <w:szCs w:val="32"/>
        </w:rPr>
        <w:t>多元化解</w:t>
      </w:r>
      <w:r>
        <w:rPr>
          <w:rFonts w:ascii="Times New Roman" w:eastAsia="仿宋_GB2312" w:hint="eastAsia"/>
          <w:bCs/>
          <w:sz w:val="32"/>
          <w:szCs w:val="32"/>
        </w:rPr>
        <w:t>品牌，开展物业服务质量、业主交费意识“双提升”</w:t>
      </w:r>
      <w:r w:rsidR="00FE0C25">
        <w:rPr>
          <w:rFonts w:ascii="Times New Roman" w:eastAsia="仿宋_GB2312" w:hint="eastAsia"/>
          <w:bCs/>
          <w:sz w:val="32"/>
          <w:szCs w:val="32"/>
        </w:rPr>
        <w:t>品牌培优活动，促进物业服务行业发展进入正轨，构建平安、和谐社区，实现“少讼”“无讼”。</w:t>
      </w:r>
      <w:r w:rsidR="00FE0C25" w:rsidRPr="0059030B">
        <w:rPr>
          <w:rFonts w:ascii="Times New Roman" w:eastAsia="仿宋_GB2312" w:hint="eastAsia"/>
          <w:bCs/>
          <w:sz w:val="32"/>
          <w:szCs w:val="32"/>
        </w:rPr>
        <w:t>截至目前，物业巡回法庭共调处物业纠纷</w:t>
      </w:r>
      <w:r w:rsidR="0059030B" w:rsidRPr="0059030B">
        <w:rPr>
          <w:rFonts w:ascii="Times New Roman" w:eastAsia="仿宋_GB2312" w:hint="eastAsia"/>
          <w:bCs/>
          <w:sz w:val="32"/>
          <w:szCs w:val="32"/>
        </w:rPr>
        <w:t>7670</w:t>
      </w:r>
      <w:r w:rsidR="00FE0C25" w:rsidRPr="0059030B">
        <w:rPr>
          <w:rFonts w:ascii="Times New Roman" w:eastAsia="仿宋_GB2312" w:hint="eastAsia"/>
          <w:bCs/>
          <w:sz w:val="32"/>
          <w:szCs w:val="32"/>
        </w:rPr>
        <w:t>件，促进整改涉电梯、给排水管、安全通道等物业服务问题</w:t>
      </w:r>
      <w:r w:rsidR="0059030B" w:rsidRPr="0059030B">
        <w:rPr>
          <w:rFonts w:ascii="Times New Roman" w:eastAsia="仿宋_GB2312" w:hint="eastAsia"/>
          <w:bCs/>
          <w:sz w:val="32"/>
          <w:szCs w:val="32"/>
        </w:rPr>
        <w:t>1260</w:t>
      </w:r>
      <w:r w:rsidR="00FE0C25" w:rsidRPr="0059030B">
        <w:rPr>
          <w:rFonts w:ascii="Times New Roman" w:eastAsia="仿宋_GB2312" w:hint="eastAsia"/>
          <w:bCs/>
          <w:sz w:val="32"/>
          <w:szCs w:val="32"/>
        </w:rPr>
        <w:t>余处，推动</w:t>
      </w:r>
      <w:r w:rsidR="0059030B" w:rsidRPr="0059030B">
        <w:rPr>
          <w:rFonts w:ascii="Times New Roman" w:eastAsia="仿宋_GB2312" w:hint="eastAsia"/>
          <w:bCs/>
          <w:sz w:val="32"/>
          <w:szCs w:val="32"/>
        </w:rPr>
        <w:t>5814</w:t>
      </w:r>
      <w:r w:rsidR="00FE0C25" w:rsidRPr="0059030B">
        <w:rPr>
          <w:rFonts w:ascii="Times New Roman" w:eastAsia="仿宋_GB2312" w:hint="eastAsia"/>
          <w:bCs/>
          <w:sz w:val="32"/>
          <w:szCs w:val="32"/>
        </w:rPr>
        <w:lastRenderedPageBreak/>
        <w:t>件纠纷在诉前成功化解，化解率</w:t>
      </w:r>
      <w:r w:rsidR="0059030B" w:rsidRPr="0059030B">
        <w:rPr>
          <w:rFonts w:ascii="Times New Roman" w:eastAsia="仿宋_GB2312" w:hint="eastAsia"/>
          <w:bCs/>
          <w:sz w:val="32"/>
          <w:szCs w:val="32"/>
        </w:rPr>
        <w:t>75.8</w:t>
      </w:r>
      <w:r w:rsidR="00FE0C25" w:rsidRPr="0059030B">
        <w:rPr>
          <w:rFonts w:ascii="Times New Roman" w:eastAsia="仿宋_GB2312" w:hint="eastAsia"/>
          <w:bCs/>
          <w:sz w:val="32"/>
          <w:szCs w:val="32"/>
        </w:rPr>
        <w:t>%</w:t>
      </w:r>
      <w:r w:rsidR="00FE0C25" w:rsidRPr="0059030B">
        <w:rPr>
          <w:rFonts w:ascii="Times New Roman" w:eastAsia="仿宋_GB2312" w:hint="eastAsia"/>
          <w:bCs/>
          <w:sz w:val="32"/>
          <w:szCs w:val="32"/>
        </w:rPr>
        <w:t>。</w:t>
      </w:r>
      <w:r w:rsidR="00FE0C25">
        <w:rPr>
          <w:rFonts w:ascii="Times New Roman" w:eastAsia="仿宋_GB2312" w:hint="eastAsia"/>
          <w:bCs/>
          <w:sz w:val="32"/>
          <w:szCs w:val="32"/>
        </w:rPr>
        <w:t>今后</w:t>
      </w:r>
      <w:r w:rsidR="00764AE6">
        <w:rPr>
          <w:rFonts w:ascii="Times New Roman" w:eastAsia="仿宋_GB2312" w:hint="eastAsia"/>
          <w:bCs/>
          <w:sz w:val="32"/>
          <w:szCs w:val="32"/>
        </w:rPr>
        <w:t>一段时间，</w:t>
      </w:r>
      <w:r w:rsidR="00FE0C25">
        <w:rPr>
          <w:rFonts w:ascii="Times New Roman" w:eastAsia="仿宋_GB2312" w:hint="eastAsia"/>
          <w:bCs/>
          <w:sz w:val="32"/>
          <w:szCs w:val="32"/>
        </w:rPr>
        <w:t>仍需</w:t>
      </w:r>
      <w:r w:rsidR="00764AE6">
        <w:rPr>
          <w:rFonts w:ascii="Times New Roman" w:eastAsia="仿宋_GB2312" w:hint="eastAsia"/>
          <w:bCs/>
          <w:sz w:val="32"/>
          <w:szCs w:val="32"/>
        </w:rPr>
        <w:t>要</w:t>
      </w:r>
      <w:r w:rsidR="00FE0C25">
        <w:rPr>
          <w:rFonts w:ascii="Times New Roman" w:eastAsia="仿宋_GB2312" w:hint="eastAsia"/>
          <w:bCs/>
          <w:sz w:val="32"/>
          <w:szCs w:val="32"/>
        </w:rPr>
        <w:t>结合实践需要，培育更多物业纠纷源头治理品牌，把工作中的好做法好经验及时转化为常态化长效化的制度机制，打造各具特色、群众认可的工作品牌。</w:t>
      </w:r>
    </w:p>
    <w:p w:rsidR="00E001EF" w:rsidRDefault="00E001EF" w:rsidP="000108ED">
      <w:pPr>
        <w:pStyle w:val="a6"/>
        <w:numPr>
          <w:ilvl w:val="0"/>
          <w:numId w:val="2"/>
        </w:numPr>
        <w:spacing w:line="520" w:lineRule="exact"/>
        <w:ind w:firstLineChars="0"/>
        <w:rPr>
          <w:rFonts w:ascii="Times New Roman" w:eastAsia="仿宋_GB2312"/>
          <w:bCs/>
          <w:sz w:val="32"/>
          <w:szCs w:val="32"/>
        </w:rPr>
      </w:pPr>
      <w:r>
        <w:rPr>
          <w:rFonts w:ascii="Times New Roman" w:eastAsia="仿宋_GB2312" w:hint="eastAsia"/>
          <w:bCs/>
          <w:sz w:val="32"/>
          <w:szCs w:val="32"/>
        </w:rPr>
        <w:t>推进治理方式数字化</w:t>
      </w:r>
    </w:p>
    <w:p w:rsidR="00FE0C25" w:rsidRPr="00FE0C25" w:rsidRDefault="00FE0C25" w:rsidP="00FC1369">
      <w:pPr>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共享法庭能够突破实体法庭在时空上的限制，</w:t>
      </w:r>
      <w:r w:rsidR="00130F07">
        <w:rPr>
          <w:rFonts w:ascii="Times New Roman" w:eastAsia="仿宋_GB2312" w:hint="eastAsia"/>
          <w:bCs/>
          <w:sz w:val="32"/>
          <w:szCs w:val="32"/>
        </w:rPr>
        <w:t>扩展人民法庭服务半径，依托一块显示屏、一根数据线、一台电脑终端，发挥法官特殊职能、人民调解员专业技能、村（社区）</w:t>
      </w:r>
      <w:r w:rsidR="00FA2211">
        <w:rPr>
          <w:rFonts w:ascii="Times New Roman" w:eastAsia="仿宋_GB2312" w:hint="eastAsia"/>
          <w:bCs/>
          <w:sz w:val="32"/>
          <w:szCs w:val="32"/>
        </w:rPr>
        <w:t>“人熟地熟事熟”</w:t>
      </w:r>
      <w:r w:rsidR="00130F07">
        <w:rPr>
          <w:rFonts w:ascii="Times New Roman" w:eastAsia="仿宋_GB2312" w:hint="eastAsia"/>
          <w:bCs/>
          <w:sz w:val="32"/>
          <w:szCs w:val="32"/>
        </w:rPr>
        <w:t>的优势，加快沟通对接，实现资源再整合、配置再优化、服务再便捷。未来的物业纠纷源头治理，互联网将从技术上为共享法官和当事人选择法官提供可能，实现司法服务的融合聚变，让公平正义更加可见、可感</w:t>
      </w:r>
      <w:r w:rsidR="00294BA2">
        <w:rPr>
          <w:rFonts w:ascii="Times New Roman" w:eastAsia="仿宋_GB2312" w:hint="eastAsia"/>
          <w:bCs/>
          <w:sz w:val="32"/>
          <w:szCs w:val="32"/>
        </w:rPr>
        <w:t>、可触</w:t>
      </w:r>
      <w:r w:rsidR="00130F07">
        <w:rPr>
          <w:rFonts w:ascii="Times New Roman" w:eastAsia="仿宋_GB2312" w:hint="eastAsia"/>
          <w:bCs/>
          <w:sz w:val="32"/>
          <w:szCs w:val="32"/>
        </w:rPr>
        <w:t>。</w:t>
      </w:r>
      <w:r w:rsidR="00130F07" w:rsidRPr="00FE0C25">
        <w:rPr>
          <w:rFonts w:ascii="Times New Roman" w:eastAsia="仿宋_GB2312" w:hint="eastAsia"/>
          <w:bCs/>
          <w:sz w:val="32"/>
          <w:szCs w:val="32"/>
        </w:rPr>
        <w:t xml:space="preserve"> </w:t>
      </w:r>
    </w:p>
    <w:p w:rsidR="00D721CF" w:rsidRDefault="00E001EF" w:rsidP="000108ED">
      <w:pPr>
        <w:pStyle w:val="a6"/>
        <w:numPr>
          <w:ilvl w:val="0"/>
          <w:numId w:val="2"/>
        </w:numPr>
        <w:spacing w:line="520" w:lineRule="exact"/>
        <w:ind w:firstLineChars="0"/>
        <w:rPr>
          <w:rFonts w:ascii="Times New Roman" w:eastAsia="仿宋_GB2312"/>
          <w:bCs/>
          <w:sz w:val="32"/>
          <w:szCs w:val="32"/>
        </w:rPr>
      </w:pPr>
      <w:r>
        <w:rPr>
          <w:rFonts w:ascii="Times New Roman" w:eastAsia="仿宋_GB2312" w:hint="eastAsia"/>
          <w:bCs/>
          <w:sz w:val="32"/>
          <w:szCs w:val="32"/>
        </w:rPr>
        <w:t>推进</w:t>
      </w:r>
      <w:r w:rsidR="00D721CF">
        <w:rPr>
          <w:rFonts w:ascii="Times New Roman" w:eastAsia="仿宋_GB2312" w:hint="eastAsia"/>
          <w:bCs/>
          <w:sz w:val="32"/>
          <w:szCs w:val="32"/>
        </w:rPr>
        <w:t>人员</w:t>
      </w:r>
      <w:r w:rsidR="00FA2211">
        <w:rPr>
          <w:rFonts w:ascii="Times New Roman" w:eastAsia="仿宋_GB2312" w:hint="eastAsia"/>
          <w:bCs/>
          <w:sz w:val="32"/>
          <w:szCs w:val="32"/>
        </w:rPr>
        <w:t>培养</w:t>
      </w:r>
      <w:r w:rsidR="0081651A">
        <w:rPr>
          <w:rFonts w:ascii="Times New Roman" w:eastAsia="仿宋_GB2312" w:hint="eastAsia"/>
          <w:bCs/>
          <w:sz w:val="32"/>
          <w:szCs w:val="32"/>
        </w:rPr>
        <w:t>规范</w:t>
      </w:r>
      <w:r w:rsidR="008A2562">
        <w:rPr>
          <w:rFonts w:ascii="Times New Roman" w:eastAsia="仿宋_GB2312" w:hint="eastAsia"/>
          <w:bCs/>
          <w:sz w:val="32"/>
          <w:szCs w:val="32"/>
        </w:rPr>
        <w:t>化</w:t>
      </w:r>
    </w:p>
    <w:p w:rsidR="00130F07" w:rsidRPr="00D721CF" w:rsidRDefault="002B7B63" w:rsidP="00FC1369">
      <w:pPr>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要着重提升参训人员的法律法规知识素养、物业服务管理水平、纠纷调处化解能力以及协助治理实践技能。以导师法官带班的方式，开展“面对面”“点对点”交流，及时了解实际情况、学习进度、培训效果、问题困难等，确保实训落地落实、取得实效。</w:t>
      </w:r>
    </w:p>
    <w:p w:rsidR="00A7259B" w:rsidRPr="002B7B63" w:rsidRDefault="00FD7195" w:rsidP="00FC1369">
      <w:pPr>
        <w:spacing w:line="520" w:lineRule="exact"/>
        <w:ind w:firstLineChars="200" w:firstLine="640"/>
        <w:rPr>
          <w:rFonts w:ascii="Times New Roman" w:eastAsia="仿宋_GB2312"/>
          <w:bCs/>
          <w:sz w:val="32"/>
          <w:szCs w:val="32"/>
        </w:rPr>
      </w:pPr>
    </w:p>
    <w:sectPr w:rsidR="00A7259B" w:rsidRPr="002B7B63" w:rsidSect="005B43E1">
      <w:footerReference w:type="defaul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195" w:rsidRDefault="00FD7195" w:rsidP="0081651A">
      <w:pPr>
        <w:ind w:firstLine="420"/>
      </w:pPr>
      <w:r>
        <w:separator/>
      </w:r>
    </w:p>
    <w:p w:rsidR="00FD7195" w:rsidRDefault="00FD7195"/>
    <w:p w:rsidR="00FD7195" w:rsidRDefault="00FD7195"/>
  </w:endnote>
  <w:endnote w:type="continuationSeparator" w:id="0">
    <w:p w:rsidR="00FD7195" w:rsidRDefault="00FD7195" w:rsidP="0081651A">
      <w:pPr>
        <w:ind w:firstLine="420"/>
      </w:pPr>
      <w:r>
        <w:continuationSeparator/>
      </w:r>
    </w:p>
    <w:p w:rsidR="00FD7195" w:rsidRDefault="00FD7195"/>
    <w:p w:rsidR="00FD7195" w:rsidRDefault="00FD7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871551"/>
      <w:docPartObj>
        <w:docPartGallery w:val="Page Numbers (Bottom of Page)"/>
        <w:docPartUnique/>
      </w:docPartObj>
    </w:sdtPr>
    <w:sdtEndPr/>
    <w:sdtContent>
      <w:p w:rsidR="000108ED" w:rsidRDefault="000108ED">
        <w:pPr>
          <w:pStyle w:val="a3"/>
          <w:jc w:val="center"/>
        </w:pPr>
        <w:r>
          <w:fldChar w:fldCharType="begin"/>
        </w:r>
        <w:r>
          <w:instrText>PAGE   \* MERGEFORMAT</w:instrText>
        </w:r>
        <w:r>
          <w:fldChar w:fldCharType="separate"/>
        </w:r>
        <w:r w:rsidR="00E55B2F" w:rsidRPr="00E55B2F">
          <w:rPr>
            <w:noProof/>
            <w:lang w:val="zh-CN"/>
          </w:rPr>
          <w:t>11</w:t>
        </w:r>
        <w:r>
          <w:fldChar w:fldCharType="end"/>
        </w:r>
      </w:p>
    </w:sdtContent>
  </w:sdt>
  <w:p w:rsidR="005F3D95" w:rsidRDefault="00FD7195" w:rsidP="005F3D95">
    <w:pPr>
      <w:pStyle w:val="a3"/>
      <w:ind w:firstLine="360"/>
    </w:pPr>
  </w:p>
  <w:p w:rsidR="0047088D" w:rsidRDefault="0047088D"/>
  <w:p w:rsidR="00581596" w:rsidRDefault="005815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195" w:rsidRDefault="00FD7195" w:rsidP="0081651A">
      <w:pPr>
        <w:ind w:firstLine="420"/>
      </w:pPr>
      <w:r>
        <w:separator/>
      </w:r>
    </w:p>
    <w:p w:rsidR="00FD7195" w:rsidRDefault="00FD7195"/>
    <w:p w:rsidR="00FD7195" w:rsidRDefault="00FD7195"/>
  </w:footnote>
  <w:footnote w:type="continuationSeparator" w:id="0">
    <w:p w:rsidR="00FD7195" w:rsidRDefault="00FD7195" w:rsidP="0081651A">
      <w:pPr>
        <w:ind w:firstLine="420"/>
      </w:pPr>
      <w:r>
        <w:continuationSeparator/>
      </w:r>
    </w:p>
    <w:p w:rsidR="00FD7195" w:rsidRDefault="00FD7195"/>
    <w:p w:rsidR="00FD7195" w:rsidRDefault="00FD719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F4182"/>
    <w:multiLevelType w:val="hybridMultilevel"/>
    <w:tmpl w:val="58DED8D8"/>
    <w:lvl w:ilvl="0" w:tplc="A308F98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523F74CD"/>
    <w:multiLevelType w:val="hybridMultilevel"/>
    <w:tmpl w:val="CC5C7804"/>
    <w:lvl w:ilvl="0" w:tplc="7C1A69A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5E0"/>
    <w:rsid w:val="00001D26"/>
    <w:rsid w:val="000108ED"/>
    <w:rsid w:val="000347EA"/>
    <w:rsid w:val="0005398B"/>
    <w:rsid w:val="000865E6"/>
    <w:rsid w:val="00091441"/>
    <w:rsid w:val="000A2F4C"/>
    <w:rsid w:val="000A6ED5"/>
    <w:rsid w:val="000B1141"/>
    <w:rsid w:val="000B3B03"/>
    <w:rsid w:val="000F584E"/>
    <w:rsid w:val="001114E7"/>
    <w:rsid w:val="001150FE"/>
    <w:rsid w:val="00115D11"/>
    <w:rsid w:val="00130F07"/>
    <w:rsid w:val="00137BBC"/>
    <w:rsid w:val="0017421D"/>
    <w:rsid w:val="001779B5"/>
    <w:rsid w:val="001A012F"/>
    <w:rsid w:val="001A6D6E"/>
    <w:rsid w:val="001D7298"/>
    <w:rsid w:val="001E03D6"/>
    <w:rsid w:val="001E48BE"/>
    <w:rsid w:val="001E5056"/>
    <w:rsid w:val="001F6E1C"/>
    <w:rsid w:val="00213E46"/>
    <w:rsid w:val="00227597"/>
    <w:rsid w:val="002505CA"/>
    <w:rsid w:val="00261526"/>
    <w:rsid w:val="00265401"/>
    <w:rsid w:val="00270AA0"/>
    <w:rsid w:val="00271A89"/>
    <w:rsid w:val="00282BD5"/>
    <w:rsid w:val="00292347"/>
    <w:rsid w:val="00294BA2"/>
    <w:rsid w:val="002A5EDD"/>
    <w:rsid w:val="002B7B63"/>
    <w:rsid w:val="002C29FC"/>
    <w:rsid w:val="002D2821"/>
    <w:rsid w:val="002D2D8E"/>
    <w:rsid w:val="002E03B4"/>
    <w:rsid w:val="002E4800"/>
    <w:rsid w:val="00300732"/>
    <w:rsid w:val="00303DAA"/>
    <w:rsid w:val="00313D58"/>
    <w:rsid w:val="00314F18"/>
    <w:rsid w:val="0033182F"/>
    <w:rsid w:val="00332712"/>
    <w:rsid w:val="00345CB9"/>
    <w:rsid w:val="003602AD"/>
    <w:rsid w:val="0036437D"/>
    <w:rsid w:val="00393B3C"/>
    <w:rsid w:val="003E2182"/>
    <w:rsid w:val="003E5913"/>
    <w:rsid w:val="00411A01"/>
    <w:rsid w:val="00424791"/>
    <w:rsid w:val="00434CDC"/>
    <w:rsid w:val="0044732C"/>
    <w:rsid w:val="00454830"/>
    <w:rsid w:val="00464F17"/>
    <w:rsid w:val="0047088D"/>
    <w:rsid w:val="00487C76"/>
    <w:rsid w:val="004E2F5B"/>
    <w:rsid w:val="004F51F1"/>
    <w:rsid w:val="00501753"/>
    <w:rsid w:val="00504EC7"/>
    <w:rsid w:val="00512C36"/>
    <w:rsid w:val="005275A1"/>
    <w:rsid w:val="00534972"/>
    <w:rsid w:val="00542083"/>
    <w:rsid w:val="005762A7"/>
    <w:rsid w:val="00581284"/>
    <w:rsid w:val="00581596"/>
    <w:rsid w:val="00587825"/>
    <w:rsid w:val="0059030B"/>
    <w:rsid w:val="005B43E1"/>
    <w:rsid w:val="005D45AE"/>
    <w:rsid w:val="005E5913"/>
    <w:rsid w:val="00603D8A"/>
    <w:rsid w:val="00617B8D"/>
    <w:rsid w:val="00620D70"/>
    <w:rsid w:val="00626BB2"/>
    <w:rsid w:val="00642856"/>
    <w:rsid w:val="00665E3B"/>
    <w:rsid w:val="00671B88"/>
    <w:rsid w:val="00697E46"/>
    <w:rsid w:val="006C1C1D"/>
    <w:rsid w:val="006C36A2"/>
    <w:rsid w:val="006D5C83"/>
    <w:rsid w:val="007363AF"/>
    <w:rsid w:val="00764AE6"/>
    <w:rsid w:val="007A3959"/>
    <w:rsid w:val="007B57A0"/>
    <w:rsid w:val="00806415"/>
    <w:rsid w:val="0081651A"/>
    <w:rsid w:val="0082410B"/>
    <w:rsid w:val="00834344"/>
    <w:rsid w:val="00850123"/>
    <w:rsid w:val="0087781C"/>
    <w:rsid w:val="008A2562"/>
    <w:rsid w:val="008D37F9"/>
    <w:rsid w:val="009008CE"/>
    <w:rsid w:val="00914B37"/>
    <w:rsid w:val="00926294"/>
    <w:rsid w:val="009478DA"/>
    <w:rsid w:val="00952188"/>
    <w:rsid w:val="00961857"/>
    <w:rsid w:val="00973973"/>
    <w:rsid w:val="00977479"/>
    <w:rsid w:val="009945B2"/>
    <w:rsid w:val="009B3448"/>
    <w:rsid w:val="009E0164"/>
    <w:rsid w:val="00A0032D"/>
    <w:rsid w:val="00A06606"/>
    <w:rsid w:val="00A2539A"/>
    <w:rsid w:val="00A53ED0"/>
    <w:rsid w:val="00A614D1"/>
    <w:rsid w:val="00A82820"/>
    <w:rsid w:val="00A875E0"/>
    <w:rsid w:val="00AC38BC"/>
    <w:rsid w:val="00AC57F3"/>
    <w:rsid w:val="00AC79BA"/>
    <w:rsid w:val="00AD0AD3"/>
    <w:rsid w:val="00AD619C"/>
    <w:rsid w:val="00AF6EA2"/>
    <w:rsid w:val="00B15B85"/>
    <w:rsid w:val="00B510E5"/>
    <w:rsid w:val="00B75BFA"/>
    <w:rsid w:val="00B83503"/>
    <w:rsid w:val="00B84C36"/>
    <w:rsid w:val="00B850F5"/>
    <w:rsid w:val="00B87C3C"/>
    <w:rsid w:val="00B93544"/>
    <w:rsid w:val="00B95697"/>
    <w:rsid w:val="00BB502F"/>
    <w:rsid w:val="00BE5385"/>
    <w:rsid w:val="00C03E4B"/>
    <w:rsid w:val="00C069C8"/>
    <w:rsid w:val="00C15411"/>
    <w:rsid w:val="00C34FE5"/>
    <w:rsid w:val="00C7063B"/>
    <w:rsid w:val="00C71657"/>
    <w:rsid w:val="00C71B08"/>
    <w:rsid w:val="00C84E24"/>
    <w:rsid w:val="00CB3E98"/>
    <w:rsid w:val="00CD2C06"/>
    <w:rsid w:val="00CD4340"/>
    <w:rsid w:val="00CF15E9"/>
    <w:rsid w:val="00CF4BAA"/>
    <w:rsid w:val="00D00ECD"/>
    <w:rsid w:val="00D032FB"/>
    <w:rsid w:val="00D04ED7"/>
    <w:rsid w:val="00D16042"/>
    <w:rsid w:val="00D23253"/>
    <w:rsid w:val="00D35FEB"/>
    <w:rsid w:val="00D41DC6"/>
    <w:rsid w:val="00D70E0E"/>
    <w:rsid w:val="00D721CF"/>
    <w:rsid w:val="00D829B6"/>
    <w:rsid w:val="00DA4DC9"/>
    <w:rsid w:val="00DA7601"/>
    <w:rsid w:val="00E001EF"/>
    <w:rsid w:val="00E4254C"/>
    <w:rsid w:val="00E46931"/>
    <w:rsid w:val="00E55B2F"/>
    <w:rsid w:val="00E644B4"/>
    <w:rsid w:val="00E7323C"/>
    <w:rsid w:val="00E80B48"/>
    <w:rsid w:val="00EA15CD"/>
    <w:rsid w:val="00EB35CE"/>
    <w:rsid w:val="00ED1B4E"/>
    <w:rsid w:val="00EF21B1"/>
    <w:rsid w:val="00EF247D"/>
    <w:rsid w:val="00F03FFC"/>
    <w:rsid w:val="00F21033"/>
    <w:rsid w:val="00F22E7C"/>
    <w:rsid w:val="00F360D6"/>
    <w:rsid w:val="00F62303"/>
    <w:rsid w:val="00F63FB7"/>
    <w:rsid w:val="00F67822"/>
    <w:rsid w:val="00FA2211"/>
    <w:rsid w:val="00FB0020"/>
    <w:rsid w:val="00FC1369"/>
    <w:rsid w:val="00FD58B6"/>
    <w:rsid w:val="00FD7195"/>
    <w:rsid w:val="00FE0C25"/>
    <w:rsid w:val="00FE1FBB"/>
    <w:rsid w:val="00FF5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875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A875E0"/>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A875E0"/>
    <w:rPr>
      <w:sz w:val="18"/>
      <w:szCs w:val="18"/>
    </w:rPr>
  </w:style>
  <w:style w:type="paragraph" w:styleId="a4">
    <w:name w:val="footnote text"/>
    <w:basedOn w:val="a"/>
    <w:link w:val="Char0"/>
    <w:autoRedefine/>
    <w:uiPriority w:val="99"/>
    <w:semiHidden/>
    <w:unhideWhenUsed/>
    <w:qFormat/>
    <w:rsid w:val="00A875E0"/>
    <w:pPr>
      <w:snapToGrid w:val="0"/>
      <w:jc w:val="left"/>
    </w:pPr>
    <w:rPr>
      <w:sz w:val="18"/>
      <w:szCs w:val="18"/>
    </w:rPr>
  </w:style>
  <w:style w:type="character" w:customStyle="1" w:styleId="Char0">
    <w:name w:val="脚注文本 Char"/>
    <w:basedOn w:val="a0"/>
    <w:link w:val="a4"/>
    <w:uiPriority w:val="99"/>
    <w:semiHidden/>
    <w:qFormat/>
    <w:rsid w:val="00A875E0"/>
    <w:rPr>
      <w:sz w:val="18"/>
      <w:szCs w:val="18"/>
    </w:rPr>
  </w:style>
  <w:style w:type="table" w:styleId="-1">
    <w:name w:val="Light Shading Accent 1"/>
    <w:basedOn w:val="a1"/>
    <w:autoRedefine/>
    <w:uiPriority w:val="60"/>
    <w:qFormat/>
    <w:rsid w:val="00A875E0"/>
    <w:rPr>
      <w:color w:val="365F91" w:themeColor="accent1" w:themeShade="BF"/>
      <w:kern w:val="0"/>
      <w:sz w:val="20"/>
      <w:szCs w:val="20"/>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5">
    <w:name w:val="footnote reference"/>
    <w:basedOn w:val="a0"/>
    <w:autoRedefine/>
    <w:uiPriority w:val="99"/>
    <w:semiHidden/>
    <w:unhideWhenUsed/>
    <w:qFormat/>
    <w:rsid w:val="00A875E0"/>
    <w:rPr>
      <w:vertAlign w:val="superscript"/>
    </w:rPr>
  </w:style>
  <w:style w:type="paragraph" w:styleId="a6">
    <w:name w:val="List Paragraph"/>
    <w:basedOn w:val="a"/>
    <w:autoRedefine/>
    <w:uiPriority w:val="34"/>
    <w:qFormat/>
    <w:rsid w:val="00A875E0"/>
    <w:pPr>
      <w:ind w:firstLineChars="200" w:firstLine="420"/>
    </w:pPr>
  </w:style>
  <w:style w:type="paragraph" w:styleId="a7">
    <w:name w:val="header"/>
    <w:basedOn w:val="a"/>
    <w:link w:val="Char1"/>
    <w:uiPriority w:val="99"/>
    <w:unhideWhenUsed/>
    <w:rsid w:val="00504EC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504EC7"/>
    <w:rPr>
      <w:sz w:val="18"/>
      <w:szCs w:val="18"/>
    </w:rPr>
  </w:style>
  <w:style w:type="paragraph" w:styleId="a8">
    <w:name w:val="Balloon Text"/>
    <w:basedOn w:val="a"/>
    <w:link w:val="Char2"/>
    <w:uiPriority w:val="99"/>
    <w:semiHidden/>
    <w:unhideWhenUsed/>
    <w:rsid w:val="00504EC7"/>
    <w:rPr>
      <w:sz w:val="18"/>
      <w:szCs w:val="18"/>
    </w:rPr>
  </w:style>
  <w:style w:type="character" w:customStyle="1" w:styleId="Char2">
    <w:name w:val="批注框文本 Char"/>
    <w:basedOn w:val="a0"/>
    <w:link w:val="a8"/>
    <w:uiPriority w:val="99"/>
    <w:semiHidden/>
    <w:rsid w:val="00504E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875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A875E0"/>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A875E0"/>
    <w:rPr>
      <w:sz w:val="18"/>
      <w:szCs w:val="18"/>
    </w:rPr>
  </w:style>
  <w:style w:type="paragraph" w:styleId="a4">
    <w:name w:val="footnote text"/>
    <w:basedOn w:val="a"/>
    <w:link w:val="Char0"/>
    <w:autoRedefine/>
    <w:uiPriority w:val="99"/>
    <w:semiHidden/>
    <w:unhideWhenUsed/>
    <w:qFormat/>
    <w:rsid w:val="00A875E0"/>
    <w:pPr>
      <w:snapToGrid w:val="0"/>
      <w:jc w:val="left"/>
    </w:pPr>
    <w:rPr>
      <w:sz w:val="18"/>
      <w:szCs w:val="18"/>
    </w:rPr>
  </w:style>
  <w:style w:type="character" w:customStyle="1" w:styleId="Char0">
    <w:name w:val="脚注文本 Char"/>
    <w:basedOn w:val="a0"/>
    <w:link w:val="a4"/>
    <w:uiPriority w:val="99"/>
    <w:semiHidden/>
    <w:qFormat/>
    <w:rsid w:val="00A875E0"/>
    <w:rPr>
      <w:sz w:val="18"/>
      <w:szCs w:val="18"/>
    </w:rPr>
  </w:style>
  <w:style w:type="table" w:styleId="-1">
    <w:name w:val="Light Shading Accent 1"/>
    <w:basedOn w:val="a1"/>
    <w:autoRedefine/>
    <w:uiPriority w:val="60"/>
    <w:qFormat/>
    <w:rsid w:val="00A875E0"/>
    <w:rPr>
      <w:color w:val="365F91" w:themeColor="accent1" w:themeShade="BF"/>
      <w:kern w:val="0"/>
      <w:sz w:val="20"/>
      <w:szCs w:val="20"/>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5">
    <w:name w:val="footnote reference"/>
    <w:basedOn w:val="a0"/>
    <w:autoRedefine/>
    <w:uiPriority w:val="99"/>
    <w:semiHidden/>
    <w:unhideWhenUsed/>
    <w:qFormat/>
    <w:rsid w:val="00A875E0"/>
    <w:rPr>
      <w:vertAlign w:val="superscript"/>
    </w:rPr>
  </w:style>
  <w:style w:type="paragraph" w:styleId="a6">
    <w:name w:val="List Paragraph"/>
    <w:basedOn w:val="a"/>
    <w:autoRedefine/>
    <w:uiPriority w:val="34"/>
    <w:qFormat/>
    <w:rsid w:val="00A875E0"/>
    <w:pPr>
      <w:ind w:firstLineChars="200" w:firstLine="420"/>
    </w:pPr>
  </w:style>
  <w:style w:type="paragraph" w:styleId="a7">
    <w:name w:val="header"/>
    <w:basedOn w:val="a"/>
    <w:link w:val="Char1"/>
    <w:uiPriority w:val="99"/>
    <w:unhideWhenUsed/>
    <w:rsid w:val="00504EC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504EC7"/>
    <w:rPr>
      <w:sz w:val="18"/>
      <w:szCs w:val="18"/>
    </w:rPr>
  </w:style>
  <w:style w:type="paragraph" w:styleId="a8">
    <w:name w:val="Balloon Text"/>
    <w:basedOn w:val="a"/>
    <w:link w:val="Char2"/>
    <w:uiPriority w:val="99"/>
    <w:semiHidden/>
    <w:unhideWhenUsed/>
    <w:rsid w:val="00504EC7"/>
    <w:rPr>
      <w:sz w:val="18"/>
      <w:szCs w:val="18"/>
    </w:rPr>
  </w:style>
  <w:style w:type="character" w:customStyle="1" w:styleId="Char2">
    <w:name w:val="批注框文本 Char"/>
    <w:basedOn w:val="a0"/>
    <w:link w:val="a8"/>
    <w:uiPriority w:val="99"/>
    <w:semiHidden/>
    <w:rsid w:val="00504E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txPr>
              <a:bodyPr rot="0" vert="horz"/>
              <a:lstStyle/>
              <a:p>
                <a:pPr>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7088</c:v>
                </c:pt>
                <c:pt idx="1">
                  <c:v>5960</c:v>
                </c:pt>
                <c:pt idx="2">
                  <c:v>4577</c:v>
                </c:pt>
                <c:pt idx="3">
                  <c:v>3807</c:v>
                </c:pt>
                <c:pt idx="4">
                  <c:v>1829</c:v>
                </c:pt>
              </c:numCache>
            </c:numRef>
          </c:val>
          <c:smooth val="0"/>
        </c:ser>
        <c:ser>
          <c:idx val="1"/>
          <c:order val="1"/>
          <c:tx>
            <c:strRef>
              <c:f>Sheet1!$C$1</c:f>
              <c:strCache>
                <c:ptCount val="1"/>
                <c:pt idx="0">
                  <c:v>列1</c:v>
                </c:pt>
              </c:strCache>
            </c:strRef>
          </c:tx>
          <c:cat>
            <c:numRef>
              <c:f>Sheet1!$A$2:$A$6</c:f>
              <c:numCache>
                <c:formatCode>General</c:formatCode>
                <c:ptCount val="5"/>
                <c:pt idx="0">
                  <c:v>2020</c:v>
                </c:pt>
                <c:pt idx="1">
                  <c:v>2021</c:v>
                </c:pt>
                <c:pt idx="2">
                  <c:v>2022</c:v>
                </c:pt>
                <c:pt idx="3">
                  <c:v>2023</c:v>
                </c:pt>
                <c:pt idx="4">
                  <c:v>2024</c:v>
                </c:pt>
              </c:numCache>
            </c:numRef>
          </c:cat>
          <c:val>
            <c:numRef>
              <c:f>Sheet1!$C$2:$C$6</c:f>
              <c:numCache>
                <c:formatCode>General</c:formatCode>
                <c:ptCount val="5"/>
              </c:numCache>
            </c:numRef>
          </c:val>
          <c:smooth val="0"/>
        </c:ser>
        <c:ser>
          <c:idx val="2"/>
          <c:order val="2"/>
          <c:tx>
            <c:strRef>
              <c:f>Sheet1!$D$1</c:f>
              <c:strCache>
                <c:ptCount val="1"/>
                <c:pt idx="0">
                  <c:v>列2</c:v>
                </c:pt>
              </c:strCache>
            </c:strRef>
          </c:tx>
          <c:cat>
            <c:numRef>
              <c:f>Sheet1!$A$2:$A$6</c:f>
              <c:numCache>
                <c:formatCode>General</c:formatCode>
                <c:ptCount val="5"/>
                <c:pt idx="0">
                  <c:v>2020</c:v>
                </c:pt>
                <c:pt idx="1">
                  <c:v>2021</c:v>
                </c:pt>
                <c:pt idx="2">
                  <c:v>2022</c:v>
                </c:pt>
                <c:pt idx="3">
                  <c:v>2023</c:v>
                </c:pt>
                <c:pt idx="4">
                  <c:v>2024</c:v>
                </c:pt>
              </c:numCache>
            </c:num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133583232"/>
        <c:axId val="133585152"/>
      </c:lineChart>
      <c:catAx>
        <c:axId val="133583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alpha val="97000"/>
                  </a:schemeClr>
                </a:solidFill>
                <a:latin typeface="+mn-lt"/>
                <a:ea typeface="+mn-ea"/>
                <a:cs typeface="+mn-cs"/>
              </a:defRPr>
            </a:pPr>
            <a:endParaRPr lang="zh-CN"/>
          </a:p>
        </c:txPr>
        <c:crossAx val="133585152"/>
        <c:crosses val="autoZero"/>
        <c:auto val="1"/>
        <c:lblAlgn val="ctr"/>
        <c:lblOffset val="100"/>
        <c:noMultiLvlLbl val="0"/>
      </c:catAx>
      <c:valAx>
        <c:axId val="1335851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alpha val="97000"/>
                  </a:schemeClr>
                </a:solidFill>
                <a:latin typeface="+mn-lt"/>
                <a:ea typeface="+mn-ea"/>
                <a:cs typeface="+mn-cs"/>
              </a:defRPr>
            </a:pPr>
            <a:endParaRPr lang="zh-CN"/>
          </a:p>
        </c:txPr>
        <c:crossAx val="133583232"/>
        <c:crosses val="autoZero"/>
        <c:crossBetween val="between"/>
      </c:valAx>
    </c:plotArea>
    <c:plotVisOnly val="1"/>
    <c:dispBlanksAs val="gap"/>
    <c:showDLblsOverMax val="0"/>
  </c:chart>
  <c:spPr>
    <a:ln w="12700" cap="flat" cmpd="sng" algn="ctr">
      <a:noFill/>
      <a:prstDash val="solid"/>
      <a:round/>
    </a:ln>
  </c:spPr>
  <c:txPr>
    <a:bodyPr/>
    <a:lstStyle/>
    <a:p>
      <a:pPr>
        <a:defRPr lang="zh-CN">
          <a:solidFill>
            <a:schemeClr val="tx1">
              <a:alpha val="97000"/>
            </a:schemeClr>
          </a:solidFill>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75BB5-BDED-40BB-A64F-A094D8FC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1216</Words>
  <Characters>6933</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薛忠勋</cp:lastModifiedBy>
  <cp:revision>70</cp:revision>
  <dcterms:created xsi:type="dcterms:W3CDTF">2025-03-06T04:42:00Z</dcterms:created>
  <dcterms:modified xsi:type="dcterms:W3CDTF">2025-03-10T01:13:00Z</dcterms:modified>
</cp:coreProperties>
</file>