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eastAsia="华文中宋"/>
          <w:b/>
          <w:bCs/>
          <w:color w:val="FF0000"/>
          <w:spacing w:val="-24"/>
          <w:w w:val="55"/>
          <w:kern w:val="11"/>
          <w:position w:val="-6"/>
          <w:sz w:val="116"/>
        </w:rPr>
      </w:pPr>
      <w:bookmarkStart w:id="0" w:name="_GoBack"/>
      <w:bookmarkEnd w:id="0"/>
      <w:r>
        <w:rPr>
          <w:rFonts w:hint="eastAsia" w:ascii="华文中宋" w:eastAsia="华文中宋"/>
          <w:b/>
          <w:bCs/>
          <w:color w:val="FF0000"/>
          <w:spacing w:val="-24"/>
          <w:w w:val="55"/>
          <w:kern w:val="11"/>
          <w:position w:val="-6"/>
          <w:sz w:val="116"/>
        </w:rPr>
        <w:t>江苏省苏州市中级人民法院文件</w:t>
      </w:r>
    </w:p>
    <w:p>
      <w:pPr>
        <w:spacing w:line="520" w:lineRule="exact"/>
        <w:jc w:val="center"/>
        <w:rPr>
          <w:rFonts w:ascii="仿宋_GB2312" w:eastAsia="仿宋_GB2312"/>
          <w:sz w:val="32"/>
        </w:rPr>
      </w:pPr>
      <w:r>
        <w:rPr>
          <w:rFonts w:hint="eastAsia" w:ascii="仿宋_GB2312" w:eastAsia="仿宋_GB2312"/>
          <w:sz w:val="32"/>
        </w:rPr>
        <w:t>苏中法〔2022〕107号</w:t>
      </w:r>
    </w:p>
    <w:p>
      <w:pPr>
        <w:spacing w:line="600" w:lineRule="exact"/>
        <w:jc w:val="center"/>
        <w:rPr>
          <w:color w:val="130000"/>
        </w:rPr>
      </w:pPr>
      <w:r>
        <w:rPr>
          <w:lang/>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123825</wp:posOffset>
                </wp:positionV>
                <wp:extent cx="5784215" cy="0"/>
                <wp:effectExtent l="0" t="9525" r="0" b="9525"/>
                <wp:wrapNone/>
                <wp:docPr id="27" name="直接连接符 27"/>
                <wp:cNvGraphicFramePr/>
                <a:graphic xmlns:a="http://schemas.openxmlformats.org/drawingml/2006/main">
                  <a:graphicData uri="http://schemas.microsoft.com/office/word/2010/wordprocessingShape">
                    <wps:wsp>
                      <wps:cNvCnPr>
                        <a:cxnSpLocks noChangeShapeType="1"/>
                      </wps:cNvCnPr>
                      <wps:spPr bwMode="auto">
                        <a:xfrm>
                          <a:off x="0" y="0"/>
                          <a:ext cx="5784112" cy="0"/>
                        </a:xfrm>
                        <a:prstGeom prst="line">
                          <a:avLst/>
                        </a:prstGeom>
                        <a:noFill/>
                        <a:ln w="19050">
                          <a:solidFill>
                            <a:srgbClr val="FF0000"/>
                          </a:solidFill>
                          <a:round/>
                        </a:ln>
                        <a:effectLst/>
                      </wps:spPr>
                      <wps:bodyPr/>
                    </wps:wsp>
                  </a:graphicData>
                </a:graphic>
              </wp:anchor>
            </w:drawing>
          </mc:Choice>
          <mc:Fallback>
            <w:pict>
              <v:line id="_x0000_s1026" o:spid="_x0000_s1026" o:spt="20" style="position:absolute;left:0pt;margin-left:-1.85pt;margin-top:9.75pt;height:0pt;width:455.45pt;z-index:251659264;mso-width-relative:page;mso-height-relative:page;" filled="f" stroked="t" coordsize="21600,21600" o:gfxdata="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zA9O2AAAAAgBAAAPAAAAAAAAAAEAIAAAACIAAABkcnMvZG93bnJldi54bWxQSwECFAAUAAAA&#10;CACHTuJAH8FyTO4BAAC7AwAADgAAAAAAAAABACAAAAAnAQAAZHJzL2Uyb0RvYy54bWxQSwUGAAAA&#10;AAYABgBZAQAAhwUAAAAA&#10;">
                <v:fill on="f" focussize="0,0"/>
                <v:stroke weight="1.5pt" color="#FF0000" joinstyle="round"/>
                <v:imagedata o:title=""/>
                <o:lock v:ext="edit" aspectratio="f"/>
              </v:line>
            </w:pict>
          </mc:Fallback>
        </mc:AlternateContent>
      </w:r>
    </w:p>
    <w:p>
      <w:pPr>
        <w:spacing w:line="600" w:lineRule="exact"/>
        <w:jc w:val="center"/>
        <w:rPr>
          <w:rFonts w:ascii="华文中宋" w:hAnsi="华文中宋" w:eastAsia="华文中宋"/>
          <w:sz w:val="44"/>
          <w:szCs w:val="44"/>
        </w:rPr>
      </w:pPr>
      <w:r>
        <w:rPr>
          <w:rFonts w:hint="eastAsia" w:ascii="华文中宋" w:hAnsi="华文中宋" w:eastAsia="华文中宋"/>
          <w:sz w:val="44"/>
          <w:szCs w:val="44"/>
        </w:rPr>
        <w:t>苏州市中级人民法院关于印发</w:t>
      </w:r>
    </w:p>
    <w:p>
      <w:pPr>
        <w:spacing w:before="312" w:beforeLines="100" w:after="312" w:afterLines="100" w:line="600" w:lineRule="exact"/>
        <w:jc w:val="center"/>
        <w:rPr>
          <w:rFonts w:ascii="华文中宋" w:hAnsi="华文中宋" w:eastAsia="华文中宋" w:cs="仿宋_GB2312"/>
          <w:color w:val="000000"/>
          <w:sz w:val="32"/>
          <w:szCs w:val="32"/>
        </w:rPr>
      </w:pPr>
      <w:r>
        <w:rPr>
          <w:rFonts w:hint="eastAsia" w:ascii="华文中宋" w:hAnsi="华文中宋" w:eastAsia="华文中宋"/>
          <w:spacing w:val="-20"/>
          <w:sz w:val="32"/>
          <w:szCs w:val="32"/>
        </w:rPr>
        <w:t>《</w:t>
      </w:r>
      <w:r>
        <w:rPr>
          <w:rFonts w:hint="eastAsia" w:ascii="华文中宋" w:hAnsi="华文中宋" w:eastAsia="华文中宋" w:cs="仿宋_GB2312"/>
          <w:color w:val="000000"/>
          <w:sz w:val="32"/>
          <w:szCs w:val="32"/>
        </w:rPr>
        <w:t>苏州法院关于指定企业破产案件管理人评审规程</w:t>
      </w:r>
      <w:r>
        <w:rPr>
          <w:rFonts w:hint="eastAsia" w:ascii="华文中宋" w:hAnsi="华文中宋" w:eastAsia="华文中宋"/>
          <w:spacing w:val="-20"/>
          <w:sz w:val="32"/>
          <w:szCs w:val="32"/>
        </w:rPr>
        <w:t>》的通知</w:t>
      </w:r>
    </w:p>
    <w:p>
      <w:pPr>
        <w:jc w:val="center"/>
        <w:rPr>
          <w:rFonts w:ascii="华文中宋" w:hAnsi="华文中宋" w:eastAsia="华文中宋"/>
          <w:b/>
          <w:sz w:val="32"/>
          <w:szCs w:val="32"/>
        </w:rPr>
      </w:pPr>
    </w:p>
    <w:p>
      <w:pPr>
        <w:spacing w:line="600" w:lineRule="exact"/>
        <w:rPr>
          <w:rFonts w:ascii="Times New Roman" w:hAnsi="Times New Roman" w:eastAsia="仿宋_GB2312"/>
          <w:sz w:val="32"/>
          <w:szCs w:val="32"/>
        </w:rPr>
      </w:pPr>
      <w:r>
        <w:rPr>
          <w:rFonts w:hint="eastAsia" w:ascii="Times New Roman" w:hAnsi="Times New Roman" w:eastAsia="仿宋_GB2312"/>
          <w:sz w:val="32"/>
          <w:szCs w:val="32"/>
        </w:rPr>
        <w:t>各市、区人民法院：</w:t>
      </w:r>
    </w:p>
    <w:p>
      <w:pPr>
        <w:spacing w:line="600" w:lineRule="exact"/>
        <w:ind w:firstLine="640" w:firstLineChars="200"/>
        <w:rPr>
          <w:rFonts w:ascii="Times New Roman" w:hAnsi="Times New Roman" w:eastAsia="仿宋_GB2312"/>
          <w:sz w:val="32"/>
          <w:szCs w:val="32"/>
        </w:rPr>
      </w:pPr>
      <w:r>
        <w:rPr>
          <w:rFonts w:hint="eastAsia" w:eastAsia="仿宋_GB2312"/>
          <w:sz w:val="32"/>
          <w:szCs w:val="32"/>
        </w:rPr>
        <w:t>经院办会通过</w:t>
      </w:r>
      <w:r>
        <w:rPr>
          <w:rFonts w:hint="eastAsia" w:ascii="Times New Roman" w:hAnsi="Times New Roman" w:eastAsia="仿宋_GB2312"/>
          <w:sz w:val="32"/>
          <w:szCs w:val="32"/>
        </w:rPr>
        <w:t>，形成了《苏州法院关于指定企业破产案件管理人评审规程》，现予印发，请认真学习领会。</w:t>
      </w:r>
    </w:p>
    <w:p>
      <w:pPr>
        <w:spacing w:line="600" w:lineRule="exact"/>
        <w:ind w:firstLine="640" w:firstLineChars="200"/>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p>
    <w:p>
      <w:pPr>
        <w:spacing w:line="600" w:lineRule="exact"/>
        <w:ind w:firstLine="640" w:firstLineChars="200"/>
        <w:rPr>
          <w:rFonts w:hint="eastAsia" w:ascii="Times New Roman" w:hAnsi="Times New Roman" w:eastAsia="仿宋_GB2312"/>
          <w:sz w:val="32"/>
          <w:szCs w:val="32"/>
        </w:rPr>
      </w:pPr>
    </w:p>
    <w:p>
      <w:pPr>
        <w:spacing w:line="600" w:lineRule="exact"/>
        <w:ind w:firstLine="4480" w:firstLineChars="1400"/>
        <w:rPr>
          <w:rFonts w:ascii="宋体" w:hAnsi="宋体"/>
          <w:sz w:val="32"/>
          <w:szCs w:val="32"/>
        </w:rPr>
      </w:pPr>
      <w:r>
        <w:rPr>
          <w:rFonts w:hint="eastAsia" w:ascii="宋体" w:hAnsi="宋体"/>
          <w:sz w:val="32"/>
          <w:szCs w:val="32"/>
          <w:lang/>
        </w:rPr>
        <w:pict>
          <v:shape id="_x0000_s1033" o:spid="_x0000_s1033" o:spt="201" type="#_x0000_t201" style="position:absolute;left:0pt;margin-left:314.25pt;margin-top:461.2pt;height:130.5pt;width:132pt;mso-position-horizontal-relative:page;mso-position-vertical-relative:page;z-index:251662336;mso-width-relative:page;mso-height-relative:page;" o:ole="t" filled="f" stroked="f" coordsize="21600,21600">
            <v:path/>
            <v:fill on="f" focussize="0,0"/>
            <v:stroke on="f"/>
            <v:imagedata r:id="rId7" o:title=""/>
            <o:lock v:ext="edit"/>
          </v:shape>
          <w:control r:id="rId6" w:name="SignatureCtrl1" w:shapeid="_x0000_s1033"/>
        </w:pict>
      </w:r>
      <w:r>
        <w:rPr>
          <w:rFonts w:hint="eastAsia" w:ascii="宋体" w:hAnsi="宋体"/>
          <w:sz w:val="32"/>
          <w:szCs w:val="32"/>
        </w:rPr>
        <w:t>江苏省苏州市中级人民法院</w:t>
      </w:r>
    </w:p>
    <w:p>
      <w:pPr>
        <w:spacing w:line="600" w:lineRule="exact"/>
        <w:ind w:firstLine="640" w:firstLineChars="200"/>
        <w:rPr>
          <w:rFonts w:ascii="宋体" w:hAnsi="宋体"/>
          <w:sz w:val="32"/>
          <w:szCs w:val="32"/>
        </w:rPr>
      </w:pPr>
      <w:r>
        <w:rPr>
          <w:rFonts w:hint="eastAsia" w:ascii="宋体" w:hAnsi="宋体"/>
          <w:sz w:val="32"/>
          <w:szCs w:val="32"/>
        </w:rPr>
        <w:t xml:space="preserve">                            2022年10月11日</w:t>
      </w:r>
    </w:p>
    <w:p>
      <w:pPr>
        <w:spacing w:line="600" w:lineRule="exact"/>
        <w:jc w:val="center"/>
        <w:rPr>
          <w:rFonts w:hint="eastAsia" w:ascii="宋体" w:hAnsi="宋体" w:cs="仿宋_GB2312"/>
          <w:color w:val="000000"/>
          <w:sz w:val="44"/>
          <w:szCs w:val="44"/>
        </w:rPr>
      </w:pPr>
      <w:r>
        <w:rPr>
          <w:sz w:val="44"/>
          <w:szCs w:val="44"/>
        </w:rPr>
        <w:br w:type="page"/>
      </w:r>
      <w:r>
        <w:rPr>
          <w:rFonts w:hint="eastAsia" w:ascii="宋体" w:hAnsi="宋体" w:cs="仿宋_GB2312"/>
          <w:color w:val="000000"/>
          <w:sz w:val="44"/>
          <w:szCs w:val="44"/>
        </w:rPr>
        <w:t>苏州法院关于指定企业破产案件管理人</w:t>
      </w:r>
    </w:p>
    <w:p>
      <w:pPr>
        <w:spacing w:before="312" w:beforeLines="100" w:after="312" w:afterLines="100" w:line="600" w:lineRule="exact"/>
        <w:jc w:val="center"/>
        <w:rPr>
          <w:rFonts w:hint="eastAsia" w:ascii="宋体" w:hAnsi="宋体" w:cs="仿宋_GB2312"/>
          <w:color w:val="000000"/>
          <w:sz w:val="44"/>
          <w:szCs w:val="44"/>
        </w:rPr>
      </w:pPr>
      <w:r>
        <w:rPr>
          <w:rFonts w:hint="eastAsia" w:ascii="宋体" w:hAnsi="宋体" w:cs="仿宋_GB2312"/>
          <w:color w:val="000000"/>
          <w:sz w:val="44"/>
          <w:szCs w:val="44"/>
        </w:rPr>
        <w:t>评审规程</w:t>
      </w:r>
    </w:p>
    <w:p>
      <w:pPr>
        <w:spacing w:before="312" w:beforeLines="100" w:line="360" w:lineRule="auto"/>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为了进一步确保企业破产案件管理人选任程序的公平、公正，提高选任的效率，根据苏州中院《关于审理企业破产案件指定管理人工作的若干意见（试行）》（以下简称若干意见），制定本规程。</w:t>
      </w:r>
    </w:p>
    <w:p>
      <w:pPr>
        <w:spacing w:line="600" w:lineRule="exact"/>
        <w:ind w:firstLine="630" w:firstLineChars="196"/>
        <w:rPr>
          <w:rFonts w:ascii="仿宋_GB2312" w:hAnsi="宋体" w:eastAsia="仿宋_GB2312" w:cs="仿宋_GB2312"/>
          <w:color w:val="000000"/>
          <w:sz w:val="32"/>
          <w:szCs w:val="32"/>
        </w:rPr>
      </w:pPr>
      <w:r>
        <w:rPr>
          <w:rFonts w:hint="eastAsia" w:ascii="黑体" w:hAnsi="黑体" w:eastAsia="黑体" w:cs="仿宋_GB2312"/>
          <w:b/>
          <w:color w:val="000000"/>
          <w:sz w:val="32"/>
          <w:szCs w:val="32"/>
        </w:rPr>
        <w:t>第一条</w:t>
      </w:r>
      <w:r>
        <w:rPr>
          <w:rFonts w:ascii="仿宋_GB2312" w:hAnsi="宋体" w:eastAsia="仿宋_GB2312" w:cs="仿宋_GB2312"/>
          <w:color w:val="000000"/>
          <w:sz w:val="32"/>
          <w:szCs w:val="32"/>
        </w:rPr>
        <w:t xml:space="preserve">  </w:t>
      </w:r>
      <w:r>
        <w:rPr>
          <w:rFonts w:hint="eastAsia" w:ascii="仿宋" w:hAnsi="仿宋" w:eastAsia="仿宋" w:cs="仿宋_GB2312"/>
          <w:sz w:val="32"/>
          <w:szCs w:val="32"/>
        </w:rPr>
        <w:t>受理法院根据《若干意见》第十二条、第十三条规定指定管理人的适用本规程。</w:t>
      </w:r>
    </w:p>
    <w:p>
      <w:pPr>
        <w:spacing w:line="600" w:lineRule="exact"/>
        <w:ind w:firstLine="630" w:firstLineChars="196"/>
        <w:rPr>
          <w:rFonts w:ascii="仿宋_GB2312" w:hAnsi="宋体" w:eastAsia="仿宋_GB2312" w:cs="仿宋_GB2312"/>
          <w:sz w:val="32"/>
          <w:szCs w:val="32"/>
        </w:rPr>
      </w:pPr>
      <w:r>
        <w:rPr>
          <w:rFonts w:hint="eastAsia" w:ascii="黑体" w:hAnsi="黑体" w:eastAsia="黑体" w:cs="仿宋_GB2312"/>
          <w:b/>
          <w:sz w:val="32"/>
          <w:szCs w:val="32"/>
        </w:rPr>
        <w:t>第二条</w:t>
      </w:r>
      <w:r>
        <w:rPr>
          <w:rFonts w:ascii="仿宋_GB2312" w:hAnsi="宋体" w:eastAsia="仿宋_GB2312" w:cs="仿宋_GB2312"/>
          <w:sz w:val="32"/>
          <w:szCs w:val="32"/>
        </w:rPr>
        <w:t xml:space="preserve">  </w:t>
      </w:r>
      <w:r>
        <w:rPr>
          <w:rFonts w:hint="eastAsia" w:ascii="仿宋" w:hAnsi="仿宋" w:eastAsia="仿宋" w:cs="仿宋_GB2312"/>
          <w:sz w:val="32"/>
          <w:szCs w:val="32"/>
        </w:rPr>
        <w:t>破产合议庭经合议拟受理对债务人的破产申请后，应于2个工作日内向司法技术管理部门通过办案系统发起选任破产管理人案件，并同步移交相关资料。</w:t>
      </w:r>
    </w:p>
    <w:p>
      <w:pPr>
        <w:spacing w:line="600" w:lineRule="exact"/>
        <w:ind w:firstLine="630" w:firstLineChars="196"/>
        <w:rPr>
          <w:rFonts w:hint="eastAsia" w:ascii="仿宋" w:hAnsi="仿宋" w:eastAsia="仿宋" w:cs="仿宋_GB2312"/>
          <w:sz w:val="32"/>
          <w:szCs w:val="32"/>
        </w:rPr>
      </w:pPr>
      <w:r>
        <w:rPr>
          <w:rFonts w:hint="eastAsia" w:ascii="黑体" w:hAnsi="黑体" w:eastAsia="黑体" w:cs="仿宋_GB2312"/>
          <w:b/>
          <w:sz w:val="32"/>
          <w:szCs w:val="32"/>
        </w:rPr>
        <w:t>第三条</w:t>
      </w:r>
      <w:r>
        <w:rPr>
          <w:rFonts w:ascii="仿宋_GB2312" w:hAnsi="宋体" w:eastAsia="仿宋_GB2312" w:cs="仿宋_GB2312"/>
          <w:sz w:val="32"/>
          <w:szCs w:val="32"/>
        </w:rPr>
        <w:t xml:space="preserve">  </w:t>
      </w:r>
      <w:r>
        <w:rPr>
          <w:rFonts w:hint="eastAsia" w:ascii="仿宋" w:hAnsi="仿宋" w:eastAsia="仿宋" w:cs="仿宋_GB2312"/>
          <w:sz w:val="32"/>
          <w:szCs w:val="32"/>
        </w:rPr>
        <w:t>司法技术管理部门应于收到破产合议庭移交相关资料2个工作日内制作</w:t>
      </w:r>
      <w:r>
        <w:rPr>
          <w:rFonts w:hint="eastAsia" w:ascii="仿宋" w:hAnsi="仿宋" w:eastAsia="仿宋" w:cs="仿宋_GB2312"/>
          <w:color w:val="000000"/>
          <w:sz w:val="32"/>
          <w:szCs w:val="32"/>
        </w:rPr>
        <w:t>《破产管理人邀请函》</w:t>
      </w:r>
      <w:r>
        <w:rPr>
          <w:rFonts w:hint="eastAsia" w:ascii="仿宋" w:hAnsi="仿宋" w:eastAsia="仿宋" w:cs="仿宋_GB2312"/>
          <w:sz w:val="32"/>
          <w:szCs w:val="32"/>
        </w:rPr>
        <w:t>并在苏州中院官网予以发布。</w:t>
      </w:r>
    </w:p>
    <w:p>
      <w:pPr>
        <w:spacing w:line="600" w:lineRule="exact"/>
        <w:ind w:firstLine="630" w:firstLineChars="196"/>
        <w:rPr>
          <w:rFonts w:hint="eastAsia" w:ascii="仿宋" w:hAnsi="仿宋" w:eastAsia="仿宋" w:cs="仿宋_GB2312"/>
          <w:sz w:val="32"/>
          <w:szCs w:val="32"/>
        </w:rPr>
      </w:pPr>
      <w:r>
        <w:rPr>
          <w:rFonts w:hint="eastAsia" w:ascii="黑体" w:hAnsi="黑体" w:eastAsia="黑体" w:cs="仿宋_GB2312"/>
          <w:b/>
          <w:sz w:val="32"/>
          <w:szCs w:val="32"/>
        </w:rPr>
        <w:t>第四条</w:t>
      </w:r>
      <w:r>
        <w:rPr>
          <w:rFonts w:ascii="仿宋_GB2312" w:hAnsi="宋体" w:eastAsia="仿宋_GB2312" w:cs="仿宋_GB2312"/>
          <w:sz w:val="32"/>
          <w:szCs w:val="32"/>
        </w:rPr>
        <w:t xml:space="preserve">  </w:t>
      </w:r>
      <w:r>
        <w:rPr>
          <w:rFonts w:hint="eastAsia" w:ascii="仿宋" w:hAnsi="仿宋" w:eastAsia="仿宋" w:cs="仿宋_GB2312"/>
          <w:sz w:val="32"/>
          <w:szCs w:val="32"/>
        </w:rPr>
        <w:t>一类、二类案件采取竞争方式指定管理人的</w:t>
      </w:r>
      <w:r>
        <w:rPr>
          <w:rFonts w:hint="eastAsia" w:ascii="仿宋_GB2312" w:hAnsi="宋体" w:eastAsia="仿宋_GB2312" w:cs="仿宋_GB2312"/>
          <w:sz w:val="32"/>
          <w:szCs w:val="32"/>
        </w:rPr>
        <w:t>，</w:t>
      </w:r>
      <w:r>
        <w:rPr>
          <w:rFonts w:hint="eastAsia" w:ascii="仿宋" w:hAnsi="仿宋" w:eastAsia="仿宋" w:cs="仿宋_GB2312"/>
          <w:sz w:val="32"/>
          <w:szCs w:val="32"/>
        </w:rPr>
        <w:t>司法技术管理部门应于评分工作结束后5个工作日内完成随机摇号选任破产管理人工作。</w:t>
      </w:r>
    </w:p>
    <w:p>
      <w:pPr>
        <w:spacing w:line="600" w:lineRule="exact"/>
        <w:ind w:firstLine="627" w:firstLineChars="196"/>
        <w:rPr>
          <w:rFonts w:hint="eastAsia" w:ascii="仿宋" w:hAnsi="仿宋" w:eastAsia="仿宋" w:cs="仿宋_GB2312"/>
          <w:sz w:val="32"/>
          <w:szCs w:val="32"/>
        </w:rPr>
      </w:pPr>
      <w:r>
        <w:rPr>
          <w:rFonts w:hint="eastAsia" w:ascii="仿宋" w:hAnsi="仿宋" w:eastAsia="仿宋" w:cs="仿宋_GB2312"/>
          <w:sz w:val="32"/>
          <w:szCs w:val="32"/>
        </w:rPr>
        <w:t>三类案件采用随机摇号方式指定管理人的，司法技术管理部门应当在报名截止日后5个工作日内完成随机摇号选任破产管理人工作。</w:t>
      </w:r>
    </w:p>
    <w:p>
      <w:pPr>
        <w:spacing w:line="600" w:lineRule="exact"/>
        <w:ind w:firstLine="630" w:firstLineChars="196"/>
        <w:rPr>
          <w:rFonts w:hint="eastAsia" w:ascii="仿宋" w:hAnsi="仿宋" w:eastAsia="仿宋" w:cs="仿宋_GB2312"/>
          <w:color w:val="000000"/>
          <w:sz w:val="32"/>
          <w:szCs w:val="32"/>
        </w:rPr>
      </w:pPr>
      <w:r>
        <w:rPr>
          <w:rFonts w:hint="eastAsia" w:ascii="黑体" w:hAnsi="黑体" w:eastAsia="黑体" w:cs="仿宋_GB2312"/>
          <w:b/>
          <w:sz w:val="32"/>
          <w:szCs w:val="32"/>
        </w:rPr>
        <w:t>第五条</w:t>
      </w:r>
      <w:r>
        <w:rPr>
          <w:rFonts w:ascii="仿宋_GB2312" w:hAnsi="宋体" w:eastAsia="仿宋_GB2312" w:cs="仿宋_GB2312"/>
          <w:color w:val="000000"/>
          <w:sz w:val="32"/>
          <w:szCs w:val="32"/>
        </w:rPr>
        <w:t xml:space="preserve"> </w:t>
      </w:r>
      <w:r>
        <w:rPr>
          <w:rFonts w:ascii="仿宋" w:hAnsi="仿宋" w:eastAsia="仿宋" w:cs="仿宋_GB2312"/>
          <w:sz w:val="32"/>
          <w:szCs w:val="32"/>
        </w:rPr>
        <w:t xml:space="preserve"> </w:t>
      </w:r>
      <w:r>
        <w:rPr>
          <w:rFonts w:hint="eastAsia" w:ascii="仿宋" w:hAnsi="仿宋" w:eastAsia="仿宋" w:cs="仿宋_GB2312"/>
          <w:sz w:val="32"/>
          <w:szCs w:val="32"/>
        </w:rPr>
        <w:t>受理法院应当按照《若干意见》第十一条第二款的规定组成评审小组负责竞争方式指定管理人的遴</w:t>
      </w:r>
      <w:r>
        <w:rPr>
          <w:rFonts w:hint="eastAsia" w:ascii="仿宋" w:hAnsi="仿宋" w:eastAsia="仿宋"/>
          <w:sz w:val="32"/>
          <w:szCs w:val="32"/>
        </w:rPr>
        <w:t>选工作。</w:t>
      </w:r>
    </w:p>
    <w:p>
      <w:pPr>
        <w:spacing w:line="600" w:lineRule="exact"/>
        <w:ind w:firstLine="630" w:firstLineChars="196"/>
        <w:rPr>
          <w:rFonts w:hint="eastAsia" w:ascii="仿宋" w:hAnsi="仿宋" w:eastAsia="仿宋"/>
          <w:sz w:val="32"/>
          <w:szCs w:val="32"/>
        </w:rPr>
      </w:pPr>
      <w:r>
        <w:rPr>
          <w:rFonts w:hint="eastAsia" w:ascii="黑体" w:hAnsi="黑体" w:eastAsia="黑体" w:cs="仿宋_GB2312"/>
          <w:b/>
          <w:sz w:val="32"/>
          <w:szCs w:val="32"/>
        </w:rPr>
        <w:t xml:space="preserve">第六条  </w:t>
      </w:r>
      <w:r>
        <w:rPr>
          <w:rFonts w:hint="eastAsia" w:ascii="仿宋" w:hAnsi="仿宋" w:eastAsia="仿宋" w:cs="仿宋_GB2312"/>
          <w:sz w:val="32"/>
          <w:szCs w:val="32"/>
        </w:rPr>
        <w:t>根据《若干意见》第十三条规定采用竞争方式指定管理人的，评审小组对社会中介机构所提交的工作方案，参照《遴选管理人评分表》设</w:t>
      </w:r>
      <w:r>
        <w:rPr>
          <w:rFonts w:hint="eastAsia" w:ascii="仿宋" w:hAnsi="仿宋" w:eastAsia="仿宋" w:cs="仿宋_GB2312"/>
          <w:color w:val="000000"/>
          <w:sz w:val="32"/>
          <w:szCs w:val="32"/>
        </w:rPr>
        <w:t>置的评分项目进行评审打分，按各社会中介机构的平均得分高低排序，根据《若干意见》第十三条第四款的规定确定入围参加摇号的社会中介机构。报名机构少于6家的直接摇号确定管理人。</w:t>
      </w:r>
      <w:r>
        <w:rPr>
          <w:rFonts w:hint="eastAsia" w:ascii="仿宋_GB2312" w:hAnsi="宋体" w:eastAsia="仿宋_GB2312" w:cs="仿宋_GB2312"/>
          <w:color w:val="000000"/>
          <w:sz w:val="32"/>
          <w:szCs w:val="32"/>
        </w:rPr>
        <w:t xml:space="preserve"> </w:t>
      </w:r>
    </w:p>
    <w:p>
      <w:pPr>
        <w:spacing w:line="600" w:lineRule="exact"/>
        <w:ind w:firstLine="630" w:firstLineChars="196"/>
        <w:rPr>
          <w:rFonts w:hint="eastAsia" w:ascii="仿宋" w:hAnsi="仿宋" w:eastAsia="仿宋" w:cs="仿宋_GB2312"/>
          <w:color w:val="000000"/>
          <w:sz w:val="32"/>
          <w:szCs w:val="32"/>
        </w:rPr>
      </w:pPr>
      <w:r>
        <w:rPr>
          <w:rFonts w:hint="eastAsia" w:ascii="黑体" w:hAnsi="黑体" w:eastAsia="黑体" w:cs="仿宋_GB2312"/>
          <w:b/>
          <w:sz w:val="32"/>
          <w:szCs w:val="32"/>
        </w:rPr>
        <w:t>第七条</w:t>
      </w:r>
      <w:r>
        <w:rPr>
          <w:rFonts w:ascii="仿宋_GB2312" w:hAnsi="宋体" w:eastAsia="仿宋_GB2312" w:cs="仿宋_GB2312"/>
          <w:color w:val="000000"/>
          <w:sz w:val="32"/>
          <w:szCs w:val="32"/>
        </w:rPr>
        <w:t xml:space="preserve">  </w:t>
      </w:r>
      <w:r>
        <w:rPr>
          <w:rFonts w:hint="eastAsia" w:ascii="仿宋" w:hAnsi="仿宋" w:eastAsia="仿宋" w:cs="仿宋_GB2312"/>
          <w:sz w:val="32"/>
          <w:szCs w:val="32"/>
        </w:rPr>
        <w:t>评审小组</w:t>
      </w:r>
      <w:r>
        <w:rPr>
          <w:rFonts w:hint="eastAsia" w:ascii="仿宋" w:hAnsi="仿宋" w:eastAsia="仿宋" w:cs="仿宋_GB2312"/>
          <w:color w:val="000000"/>
          <w:sz w:val="32"/>
          <w:szCs w:val="32"/>
        </w:rPr>
        <w:t>成员</w:t>
      </w:r>
      <w:r>
        <w:rPr>
          <w:rFonts w:hint="eastAsia" w:ascii="仿宋" w:hAnsi="仿宋" w:eastAsia="仿宋"/>
          <w:sz w:val="32"/>
          <w:szCs w:val="32"/>
        </w:rPr>
        <w:t>应于提交工作方案截止日起5个工作日内完成对</w:t>
      </w:r>
      <w:r>
        <w:rPr>
          <w:rFonts w:hint="eastAsia" w:ascii="仿宋" w:hAnsi="仿宋" w:eastAsia="仿宋" w:cs="仿宋_GB2312"/>
          <w:color w:val="000000"/>
          <w:sz w:val="32"/>
          <w:szCs w:val="32"/>
        </w:rPr>
        <w:t>工作方案评分工作，重大案件10个工作日内完成。</w:t>
      </w:r>
    </w:p>
    <w:p>
      <w:pPr>
        <w:spacing w:line="600" w:lineRule="exact"/>
        <w:ind w:firstLine="627" w:firstLineChars="196"/>
        <w:rPr>
          <w:rFonts w:ascii="仿宋" w:hAnsi="仿宋" w:eastAsia="仿宋" w:cs="仿宋_GB2312"/>
          <w:color w:val="000000"/>
          <w:sz w:val="32"/>
          <w:szCs w:val="32"/>
        </w:rPr>
      </w:pPr>
      <w:r>
        <w:rPr>
          <w:rFonts w:hint="eastAsia" w:ascii="仿宋" w:hAnsi="仿宋" w:eastAsia="仿宋" w:cs="仿宋_GB2312"/>
          <w:color w:val="000000"/>
          <w:sz w:val="32"/>
          <w:szCs w:val="32"/>
        </w:rPr>
        <w:t>评审小组成员完成评分后应当署名。</w:t>
      </w:r>
    </w:p>
    <w:p>
      <w:pPr>
        <w:spacing w:line="600" w:lineRule="exact"/>
        <w:ind w:firstLine="643" w:firstLineChars="200"/>
        <w:rPr>
          <w:rFonts w:ascii="仿宋" w:hAnsi="仿宋" w:eastAsia="仿宋" w:cs="仿宋_GB2312"/>
          <w:sz w:val="32"/>
          <w:szCs w:val="32"/>
        </w:rPr>
      </w:pPr>
      <w:r>
        <w:rPr>
          <w:rFonts w:hint="eastAsia" w:ascii="黑体" w:hAnsi="黑体" w:eastAsia="黑体" w:cs="仿宋_GB2312"/>
          <w:b/>
          <w:sz w:val="32"/>
          <w:szCs w:val="32"/>
        </w:rPr>
        <w:t>第八条</w:t>
      </w:r>
      <w:r>
        <w:rPr>
          <w:rFonts w:ascii="仿宋_GB2312" w:hAnsi="宋体" w:eastAsia="仿宋_GB2312" w:cs="仿宋_GB2312"/>
          <w:color w:val="000000"/>
          <w:sz w:val="32"/>
          <w:szCs w:val="32"/>
        </w:rPr>
        <w:t xml:space="preserve">  </w:t>
      </w:r>
      <w:r>
        <w:rPr>
          <w:rFonts w:hint="eastAsia" w:ascii="仿宋" w:hAnsi="仿宋" w:eastAsia="仿宋" w:cs="仿宋_GB2312"/>
          <w:sz w:val="32"/>
          <w:szCs w:val="32"/>
        </w:rPr>
        <w:t>评审小组成员</w:t>
      </w:r>
      <w:r>
        <w:rPr>
          <w:rFonts w:hint="eastAsia" w:ascii="仿宋" w:hAnsi="仿宋" w:eastAsia="仿宋" w:cs="仿宋_GB2312"/>
          <w:color w:val="000000"/>
          <w:sz w:val="32"/>
          <w:szCs w:val="32"/>
        </w:rPr>
        <w:t>如</w:t>
      </w:r>
      <w:r>
        <w:rPr>
          <w:rFonts w:hint="eastAsia" w:ascii="仿宋" w:hAnsi="仿宋" w:eastAsia="仿宋" w:cs="仿宋_GB2312"/>
          <w:sz w:val="32"/>
          <w:szCs w:val="32"/>
        </w:rPr>
        <w:t>与社会中介机构提交的工作方案中载明的团队成员存在近亲属关系或其他影响公正评审的情形，应当主动回避。</w:t>
      </w:r>
    </w:p>
    <w:p>
      <w:pPr>
        <w:spacing w:line="600" w:lineRule="exact"/>
        <w:ind w:firstLine="643" w:firstLineChars="200"/>
        <w:rPr>
          <w:rFonts w:hint="eastAsia" w:ascii="仿宋" w:hAnsi="仿宋" w:eastAsia="仿宋" w:cs="仿宋_GB2312"/>
          <w:color w:val="000000"/>
          <w:sz w:val="32"/>
          <w:szCs w:val="32"/>
        </w:rPr>
      </w:pPr>
      <w:r>
        <w:rPr>
          <w:rFonts w:hint="eastAsia" w:ascii="黑体" w:hAnsi="黑体" w:eastAsia="黑体" w:cs="仿宋_GB2312"/>
          <w:b/>
          <w:sz w:val="32"/>
          <w:szCs w:val="32"/>
        </w:rPr>
        <w:t>第九条</w:t>
      </w:r>
      <w:r>
        <w:rPr>
          <w:rFonts w:ascii="仿宋_GB2312" w:hAnsi="宋体" w:eastAsia="仿宋_GB2312" w:cs="仿宋_GB2312"/>
          <w:color w:val="000000"/>
          <w:sz w:val="32"/>
          <w:szCs w:val="32"/>
        </w:rPr>
        <w:t xml:space="preserve">  </w:t>
      </w:r>
      <w:r>
        <w:rPr>
          <w:rFonts w:hint="eastAsia" w:ascii="仿宋" w:hAnsi="仿宋" w:eastAsia="仿宋" w:cs="仿宋_GB2312"/>
          <w:color w:val="000000"/>
          <w:sz w:val="32"/>
          <w:szCs w:val="32"/>
        </w:rPr>
        <w:t>《遴选管理人评分表》根据使用及破产管理人实训情况适时进行调整。</w:t>
      </w:r>
    </w:p>
    <w:p>
      <w:pPr>
        <w:spacing w:line="600" w:lineRule="exact"/>
        <w:ind w:firstLine="643" w:firstLineChars="200"/>
        <w:rPr>
          <w:rFonts w:hint="eastAsia" w:ascii="仿宋" w:hAnsi="仿宋" w:eastAsia="仿宋" w:cs="仿宋_GB2312"/>
          <w:sz w:val="32"/>
          <w:szCs w:val="32"/>
        </w:rPr>
      </w:pPr>
      <w:r>
        <w:rPr>
          <w:rFonts w:hint="eastAsia" w:ascii="黑体" w:hAnsi="黑体" w:eastAsia="黑体" w:cs="仿宋_GB2312"/>
          <w:b/>
          <w:sz w:val="32"/>
          <w:szCs w:val="32"/>
        </w:rPr>
        <w:t xml:space="preserve">第十条  </w:t>
      </w:r>
      <w:r>
        <w:rPr>
          <w:rFonts w:hint="eastAsia" w:ascii="仿宋" w:hAnsi="仿宋" w:eastAsia="仿宋" w:cs="仿宋_GB2312"/>
          <w:sz w:val="32"/>
          <w:szCs w:val="32"/>
        </w:rPr>
        <w:t>本规程由本院破产管理人名册评审委员会负责解释。</w:t>
      </w:r>
    </w:p>
    <w:p>
      <w:pPr>
        <w:spacing w:line="600" w:lineRule="exact"/>
        <w:ind w:firstLine="320" w:firstLineChars="100"/>
        <w:rPr>
          <w:rFonts w:hint="eastAsia" w:ascii="仿宋" w:hAnsi="仿宋" w:eastAsia="仿宋" w:cs="仿宋_GB2312"/>
          <w:sz w:val="32"/>
          <w:szCs w:val="32"/>
        </w:rPr>
      </w:pPr>
    </w:p>
    <w:p>
      <w:pPr>
        <w:spacing w:line="600" w:lineRule="exact"/>
        <w:ind w:firstLine="320" w:firstLineChars="100"/>
        <w:rPr>
          <w:rFonts w:hint="eastAsia" w:ascii="仿宋" w:hAnsi="仿宋" w:eastAsia="仿宋" w:cs="仿宋_GB2312"/>
          <w:sz w:val="32"/>
          <w:szCs w:val="32"/>
        </w:rPr>
      </w:pPr>
    </w:p>
    <w:p>
      <w:pPr>
        <w:spacing w:line="600" w:lineRule="exact"/>
        <w:ind w:firstLine="320" w:firstLineChars="100"/>
        <w:rPr>
          <w:rFonts w:hint="eastAsia" w:ascii="仿宋" w:hAnsi="仿宋" w:eastAsia="仿宋" w:cs="仿宋_GB2312"/>
          <w:sz w:val="32"/>
          <w:szCs w:val="32"/>
        </w:rPr>
      </w:pPr>
    </w:p>
    <w:p>
      <w:pPr>
        <w:widowControl/>
        <w:jc w:val="left"/>
        <w:rPr>
          <w:rFonts w:hint="eastAsia" w:ascii="仿宋_GB2312" w:hAnsi="宋体" w:eastAsia="仿宋_GB2312" w:cs="仿宋_GB2312"/>
          <w:sz w:val="32"/>
          <w:szCs w:val="32"/>
        </w:rPr>
      </w:pPr>
      <w:r>
        <w:rPr>
          <w:rFonts w:ascii="仿宋" w:hAnsi="仿宋" w:eastAsia="仿宋" w:cs="仿宋_GB2312"/>
          <w:sz w:val="32"/>
          <w:szCs w:val="32"/>
        </w:rPr>
        <w:br w:type="page"/>
      </w:r>
      <w:r>
        <w:rPr>
          <w:rFonts w:hint="eastAsia" w:ascii="仿宋_GB2312" w:hAnsi="宋体" w:eastAsia="仿宋_GB2312" w:cs="仿宋_GB2312"/>
          <w:sz w:val="32"/>
          <w:szCs w:val="32"/>
        </w:rPr>
        <w:t>附：         遴选管理人评分表(推荐使用)</w:t>
      </w:r>
    </w:p>
    <w:tbl>
      <w:tblPr>
        <w:tblStyle w:val="7"/>
        <w:tblW w:w="9371" w:type="dxa"/>
        <w:tblInd w:w="93" w:type="dxa"/>
        <w:tblLayout w:type="fixed"/>
        <w:tblCellMar>
          <w:top w:w="0" w:type="dxa"/>
          <w:left w:w="108" w:type="dxa"/>
          <w:bottom w:w="0" w:type="dxa"/>
          <w:right w:w="108" w:type="dxa"/>
        </w:tblCellMar>
      </w:tblPr>
      <w:tblGrid>
        <w:gridCol w:w="1149"/>
        <w:gridCol w:w="709"/>
        <w:gridCol w:w="1822"/>
        <w:gridCol w:w="3990"/>
        <w:gridCol w:w="1701"/>
      </w:tblGrid>
      <w:tr>
        <w:tblPrEx>
          <w:tblCellMar>
            <w:top w:w="0" w:type="dxa"/>
            <w:left w:w="108" w:type="dxa"/>
            <w:bottom w:w="0" w:type="dxa"/>
            <w:right w:w="108" w:type="dxa"/>
          </w:tblCellMar>
        </w:tblPrEx>
        <w:trPr>
          <w:wBefore w:w="0" w:type="dxa"/>
          <w:wAfter w:w="0" w:type="dxa"/>
          <w:trHeight w:val="645" w:hRule="atLeast"/>
        </w:trPr>
        <w:tc>
          <w:tcPr>
            <w:tcW w:w="1149" w:type="dxa"/>
            <w:tcBorders>
              <w:top w:val="single" w:color="auto" w:sz="8" w:space="0"/>
              <w:left w:val="single" w:color="auto" w:sz="8" w:space="0"/>
              <w:bottom w:val="single" w:color="auto" w:sz="4" w:space="0"/>
              <w:right w:val="single" w:color="auto" w:sz="4" w:space="0"/>
            </w:tcBorders>
            <w:shd w:val="clear" w:color="auto" w:fill="auto"/>
            <w:noWrap w:val="0"/>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评分点</w:t>
            </w:r>
          </w:p>
        </w:tc>
        <w:tc>
          <w:tcPr>
            <w:tcW w:w="709"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b/>
                <w:bCs/>
                <w:color w:val="000000"/>
                <w:kern w:val="0"/>
                <w:sz w:val="20"/>
                <w:szCs w:val="20"/>
              </w:rPr>
            </w:pPr>
            <w:r>
              <w:rPr>
                <w:rFonts w:hint="eastAsia" w:ascii="新宋体" w:hAnsi="新宋体" w:eastAsia="新宋体" w:cs="宋体"/>
                <w:b/>
                <w:bCs/>
                <w:color w:val="000000"/>
                <w:kern w:val="0"/>
                <w:sz w:val="20"/>
                <w:szCs w:val="20"/>
              </w:rPr>
              <w:t>分值</w:t>
            </w:r>
          </w:p>
        </w:tc>
        <w:tc>
          <w:tcPr>
            <w:tcW w:w="1822" w:type="dxa"/>
            <w:tcBorders>
              <w:top w:val="single" w:color="auto" w:sz="8" w:space="0"/>
              <w:left w:val="nil"/>
              <w:bottom w:val="single" w:color="auto" w:sz="4" w:space="0"/>
              <w:right w:val="single" w:color="auto" w:sz="4" w:space="0"/>
            </w:tcBorders>
            <w:shd w:val="clear" w:color="auto" w:fill="auto"/>
            <w:noWrap/>
            <w:vAlign w:val="center"/>
          </w:tcPr>
          <w:p>
            <w:pPr>
              <w:widowControl/>
              <w:jc w:val="left"/>
              <w:rPr>
                <w:rFonts w:ascii="新宋体" w:hAnsi="新宋体" w:eastAsia="新宋体" w:cs="宋体"/>
                <w:b/>
                <w:bCs/>
                <w:color w:val="000000"/>
                <w:kern w:val="0"/>
                <w:sz w:val="20"/>
                <w:szCs w:val="20"/>
              </w:rPr>
            </w:pPr>
            <w:r>
              <w:rPr>
                <w:rFonts w:hint="eastAsia" w:ascii="新宋体" w:hAnsi="新宋体" w:eastAsia="新宋体" w:cs="宋体"/>
                <w:b/>
                <w:bCs/>
                <w:color w:val="000000"/>
                <w:kern w:val="0"/>
                <w:sz w:val="20"/>
                <w:szCs w:val="20"/>
              </w:rPr>
              <w:t xml:space="preserve">     项目详解                                    </w:t>
            </w:r>
          </w:p>
        </w:tc>
        <w:tc>
          <w:tcPr>
            <w:tcW w:w="3990"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b/>
                <w:bCs/>
                <w:color w:val="000000"/>
                <w:kern w:val="0"/>
                <w:sz w:val="20"/>
                <w:szCs w:val="20"/>
              </w:rPr>
            </w:pPr>
            <w:r>
              <w:rPr>
                <w:rFonts w:hint="eastAsia" w:ascii="新宋体" w:hAnsi="新宋体" w:eastAsia="新宋体" w:cs="宋体"/>
                <w:b/>
                <w:bCs/>
                <w:color w:val="000000"/>
                <w:kern w:val="0"/>
                <w:sz w:val="20"/>
                <w:szCs w:val="20"/>
              </w:rPr>
              <w:t>备注</w:t>
            </w:r>
          </w:p>
        </w:tc>
        <w:tc>
          <w:tcPr>
            <w:tcW w:w="1701" w:type="dxa"/>
            <w:tcBorders>
              <w:top w:val="single" w:color="auto" w:sz="8" w:space="0"/>
              <w:left w:val="nil"/>
              <w:bottom w:val="single" w:color="auto" w:sz="4" w:space="0"/>
              <w:right w:val="single" w:color="auto" w:sz="8"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计分说明</w:t>
            </w:r>
          </w:p>
        </w:tc>
      </w:tr>
      <w:tr>
        <w:tblPrEx>
          <w:tblCellMar>
            <w:top w:w="0" w:type="dxa"/>
            <w:left w:w="108" w:type="dxa"/>
            <w:bottom w:w="0" w:type="dxa"/>
            <w:right w:w="108" w:type="dxa"/>
          </w:tblCellMar>
        </w:tblPrEx>
        <w:trPr>
          <w:wBefore w:w="0" w:type="dxa"/>
          <w:wAfter w:w="0" w:type="dxa"/>
          <w:trHeight w:val="510" w:hRule="atLeast"/>
        </w:trPr>
        <w:tc>
          <w:tcPr>
            <w:tcW w:w="114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申报工作方案得分（80分）</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182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机构前期尽调情况 </w:t>
            </w:r>
          </w:p>
        </w:tc>
        <w:tc>
          <w:tcPr>
            <w:tcW w:w="399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前期了解债务人情况详细程度</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评委打分</w:t>
            </w:r>
          </w:p>
        </w:tc>
      </w:tr>
      <w:tr>
        <w:tblPrEx>
          <w:tblCellMar>
            <w:top w:w="0" w:type="dxa"/>
            <w:left w:w="108" w:type="dxa"/>
            <w:bottom w:w="0" w:type="dxa"/>
            <w:right w:w="108" w:type="dxa"/>
          </w:tblCellMar>
        </w:tblPrEx>
        <w:trPr>
          <w:wBefore w:w="0" w:type="dxa"/>
          <w:wAfter w:w="0" w:type="dxa"/>
          <w:trHeight w:val="570" w:hRule="atLeast"/>
        </w:trPr>
        <w:tc>
          <w:tcPr>
            <w:tcW w:w="114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709" w:type="dxa"/>
            <w:tcBorders>
              <w:top w:val="nil"/>
              <w:left w:val="nil"/>
              <w:bottom w:val="single" w:color="auto" w:sz="4" w:space="0"/>
              <w:right w:val="single" w:color="auto" w:sz="4" w:space="0"/>
            </w:tcBorders>
            <w:shd w:val="clear" w:color="auto" w:fill="auto"/>
            <w:noWrap w:val="0"/>
            <w:vAlign w:val="center"/>
          </w:tcPr>
          <w:p>
            <w:pPr>
              <w:jc w:val="center"/>
              <w:rPr>
                <w:rFonts w:ascii="宋体" w:hAnsi="宋体" w:cs="宋体"/>
                <w:kern w:val="0"/>
                <w:sz w:val="20"/>
                <w:szCs w:val="20"/>
              </w:rPr>
            </w:pPr>
            <w:r>
              <w:rPr>
                <w:rFonts w:hint="eastAsia" w:ascii="宋体" w:hAnsi="宋体" w:cs="宋体"/>
                <w:kern w:val="0"/>
                <w:sz w:val="20"/>
                <w:szCs w:val="20"/>
              </w:rPr>
              <w:t>20</w:t>
            </w:r>
          </w:p>
        </w:tc>
        <w:tc>
          <w:tcPr>
            <w:tcW w:w="1822" w:type="dxa"/>
            <w:tcBorders>
              <w:top w:val="nil"/>
              <w:left w:val="nil"/>
              <w:bottom w:val="single" w:color="auto" w:sz="4" w:space="0"/>
              <w:right w:val="single" w:color="auto" w:sz="4" w:space="0"/>
            </w:tcBorders>
            <w:shd w:val="clear" w:color="auto" w:fill="auto"/>
            <w:noWrap w:val="0"/>
            <w:vAlign w:val="center"/>
          </w:tcPr>
          <w:p>
            <w:pPr>
              <w:jc w:val="left"/>
              <w:rPr>
                <w:rFonts w:ascii="宋体" w:hAnsi="宋体" w:cs="宋体"/>
                <w:kern w:val="0"/>
                <w:sz w:val="20"/>
                <w:szCs w:val="20"/>
              </w:rPr>
            </w:pPr>
            <w:r>
              <w:rPr>
                <w:rFonts w:hint="eastAsia" w:ascii="宋体" w:hAnsi="宋体" w:cs="宋体"/>
                <w:kern w:val="0"/>
                <w:sz w:val="20"/>
                <w:szCs w:val="20"/>
              </w:rPr>
              <w:t>工作方案详实程度</w:t>
            </w:r>
          </w:p>
        </w:tc>
        <w:tc>
          <w:tcPr>
            <w:tcW w:w="3990" w:type="dxa"/>
            <w:tcBorders>
              <w:top w:val="nil"/>
              <w:left w:val="nil"/>
              <w:bottom w:val="single" w:color="auto" w:sz="4" w:space="0"/>
              <w:right w:val="single" w:color="auto" w:sz="4" w:space="0"/>
            </w:tcBorders>
            <w:shd w:val="clear" w:color="auto" w:fill="auto"/>
            <w:noWrap w:val="0"/>
            <w:vAlign w:val="center"/>
          </w:tcPr>
          <w:p>
            <w:pPr>
              <w:jc w:val="left"/>
              <w:rPr>
                <w:rFonts w:ascii="宋体" w:hAnsi="宋体" w:cs="宋体"/>
                <w:kern w:val="0"/>
                <w:sz w:val="20"/>
                <w:szCs w:val="20"/>
              </w:rPr>
            </w:pPr>
            <w:r>
              <w:rPr>
                <w:rFonts w:hint="eastAsia" w:ascii="宋体" w:hAnsi="宋体" w:cs="宋体"/>
                <w:kern w:val="0"/>
                <w:sz w:val="20"/>
                <w:szCs w:val="20"/>
              </w:rPr>
              <w:t>管理人的工作计划时间表，工作方案针对性、严谨性、逻辑性</w:t>
            </w:r>
          </w:p>
        </w:tc>
        <w:tc>
          <w:tcPr>
            <w:tcW w:w="1701" w:type="dxa"/>
            <w:tcBorders>
              <w:top w:val="nil"/>
              <w:left w:val="nil"/>
              <w:bottom w:val="single" w:color="auto" w:sz="4" w:space="0"/>
              <w:right w:val="single" w:color="auto" w:sz="4" w:space="0"/>
            </w:tcBorders>
            <w:shd w:val="clear" w:color="auto" w:fill="auto"/>
            <w:noWrap w:val="0"/>
            <w:vAlign w:val="center"/>
          </w:tcPr>
          <w:p>
            <w:pPr>
              <w:jc w:val="center"/>
              <w:rPr>
                <w:rFonts w:ascii="宋体" w:hAnsi="宋体" w:cs="宋体"/>
                <w:kern w:val="0"/>
                <w:sz w:val="20"/>
                <w:szCs w:val="20"/>
              </w:rPr>
            </w:pPr>
            <w:r>
              <w:rPr>
                <w:rFonts w:hint="eastAsia" w:ascii="宋体" w:hAnsi="宋体" w:cs="宋体"/>
                <w:kern w:val="0"/>
                <w:sz w:val="20"/>
                <w:szCs w:val="20"/>
              </w:rPr>
              <w:t>评委打分</w:t>
            </w:r>
          </w:p>
        </w:tc>
      </w:tr>
      <w:tr>
        <w:tblPrEx>
          <w:tblCellMar>
            <w:top w:w="0" w:type="dxa"/>
            <w:left w:w="108" w:type="dxa"/>
            <w:bottom w:w="0" w:type="dxa"/>
            <w:right w:w="108" w:type="dxa"/>
          </w:tblCellMar>
        </w:tblPrEx>
        <w:trPr>
          <w:wBefore w:w="0" w:type="dxa"/>
          <w:wAfter w:w="0" w:type="dxa"/>
          <w:trHeight w:val="660" w:hRule="atLeast"/>
        </w:trPr>
        <w:tc>
          <w:tcPr>
            <w:tcW w:w="114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82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针对性工作思路和事务执行的思路          </w:t>
            </w:r>
          </w:p>
        </w:tc>
        <w:tc>
          <w:tcPr>
            <w:tcW w:w="399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破产案件中管理人工作的难度和对应工作思路，债务人所属行业的特点、前景的描述</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评委打分</w:t>
            </w:r>
          </w:p>
        </w:tc>
      </w:tr>
      <w:tr>
        <w:tblPrEx>
          <w:tblCellMar>
            <w:top w:w="0" w:type="dxa"/>
            <w:left w:w="108" w:type="dxa"/>
            <w:bottom w:w="0" w:type="dxa"/>
            <w:right w:w="108" w:type="dxa"/>
          </w:tblCellMar>
        </w:tblPrEx>
        <w:trPr>
          <w:wBefore w:w="0" w:type="dxa"/>
          <w:wAfter w:w="0" w:type="dxa"/>
          <w:trHeight w:val="1080" w:hRule="atLeast"/>
        </w:trPr>
        <w:tc>
          <w:tcPr>
            <w:tcW w:w="114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822" w:type="dxa"/>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kern w:val="0"/>
                <w:sz w:val="20"/>
                <w:szCs w:val="20"/>
              </w:rPr>
            </w:pPr>
            <w:r>
              <w:rPr>
                <w:rFonts w:hint="eastAsia" w:ascii="宋体" w:hAnsi="宋体" w:cs="宋体"/>
                <w:kern w:val="0"/>
                <w:sz w:val="20"/>
                <w:szCs w:val="20"/>
              </w:rPr>
              <w:t>管理人团队人员具体情况</w:t>
            </w:r>
          </w:p>
        </w:tc>
        <w:tc>
          <w:tcPr>
            <w:tcW w:w="399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管理人团队负责人为机构负责人的得5分；合伙人、经理得4分；一般人员，3分。团队人员充足，团队组织架构清晰，分工明确得5分；团队分工一般、人员存在重叠，3-4分；团队分工不合理、人员不足，1-2分</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评委打分</w:t>
            </w:r>
          </w:p>
        </w:tc>
      </w:tr>
      <w:tr>
        <w:tblPrEx>
          <w:tblCellMar>
            <w:top w:w="0" w:type="dxa"/>
            <w:left w:w="108" w:type="dxa"/>
            <w:bottom w:w="0" w:type="dxa"/>
            <w:right w:w="108" w:type="dxa"/>
          </w:tblCellMar>
        </w:tblPrEx>
        <w:trPr>
          <w:wBefore w:w="0" w:type="dxa"/>
          <w:wAfter w:w="0" w:type="dxa"/>
          <w:trHeight w:val="1393" w:hRule="atLeast"/>
        </w:trPr>
        <w:tc>
          <w:tcPr>
            <w:tcW w:w="114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822" w:type="dxa"/>
            <w:tcBorders>
              <w:top w:val="nil"/>
              <w:left w:val="nil"/>
              <w:bottom w:val="single" w:color="auto" w:sz="4" w:space="0"/>
              <w:right w:val="single" w:color="auto" w:sz="4" w:space="0"/>
            </w:tcBorders>
            <w:shd w:val="clear" w:color="auto" w:fill="auto"/>
            <w:noWrap w:val="0"/>
            <w:vAlign w:val="center"/>
          </w:tcPr>
          <w:p>
            <w:pPr>
              <w:jc w:val="left"/>
              <w:rPr>
                <w:rFonts w:ascii="宋体" w:hAnsi="宋体" w:cs="宋体"/>
                <w:kern w:val="0"/>
                <w:sz w:val="20"/>
                <w:szCs w:val="20"/>
              </w:rPr>
            </w:pPr>
            <w:r>
              <w:rPr>
                <w:rFonts w:hint="eastAsia" w:ascii="宋体" w:hAnsi="宋体" w:cs="宋体"/>
                <w:kern w:val="0"/>
                <w:sz w:val="20"/>
                <w:szCs w:val="20"/>
              </w:rPr>
              <w:t>可否先行垫付破产费用及数额（非管理人自身的开支，如评估费）</w:t>
            </w:r>
          </w:p>
        </w:tc>
        <w:tc>
          <w:tcPr>
            <w:tcW w:w="399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全额垫付，5分；垫付较多，3-4分；无意愿或仅垫付基本费用，1-2分</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评委打分</w:t>
            </w:r>
          </w:p>
        </w:tc>
      </w:tr>
      <w:tr>
        <w:tblPrEx>
          <w:tblCellMar>
            <w:top w:w="0" w:type="dxa"/>
            <w:left w:w="108" w:type="dxa"/>
            <w:bottom w:w="0" w:type="dxa"/>
            <w:right w:w="108" w:type="dxa"/>
          </w:tblCellMar>
        </w:tblPrEx>
        <w:trPr>
          <w:wBefore w:w="0" w:type="dxa"/>
          <w:wAfter w:w="0" w:type="dxa"/>
          <w:trHeight w:val="720" w:hRule="atLeast"/>
        </w:trPr>
        <w:tc>
          <w:tcPr>
            <w:tcW w:w="114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82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节省费用的思路（不限于食宿等消耗性开支）       </w:t>
            </w:r>
          </w:p>
        </w:tc>
        <w:tc>
          <w:tcPr>
            <w:tcW w:w="399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思路清晰、明确，有可行性，4-5分；思路仅为原则性表述，2-3分；无思路或思路不清晰，1分</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评委打分</w:t>
            </w:r>
          </w:p>
        </w:tc>
      </w:tr>
      <w:tr>
        <w:tblPrEx>
          <w:tblCellMar>
            <w:top w:w="0" w:type="dxa"/>
            <w:left w:w="108" w:type="dxa"/>
            <w:bottom w:w="0" w:type="dxa"/>
            <w:right w:w="108" w:type="dxa"/>
          </w:tblCellMar>
        </w:tblPrEx>
        <w:trPr>
          <w:wBefore w:w="0" w:type="dxa"/>
          <w:wAfter w:w="0" w:type="dxa"/>
          <w:trHeight w:val="540" w:hRule="atLeast"/>
        </w:trPr>
        <w:tc>
          <w:tcPr>
            <w:tcW w:w="114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82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管理人报酬折扣</w:t>
            </w:r>
          </w:p>
        </w:tc>
        <w:tc>
          <w:tcPr>
            <w:tcW w:w="399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折扣排名</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排名得分</w:t>
            </w:r>
          </w:p>
        </w:tc>
      </w:tr>
      <w:tr>
        <w:tblPrEx>
          <w:tblCellMar>
            <w:top w:w="0" w:type="dxa"/>
            <w:left w:w="108" w:type="dxa"/>
            <w:bottom w:w="0" w:type="dxa"/>
            <w:right w:w="108" w:type="dxa"/>
          </w:tblCellMar>
        </w:tblPrEx>
        <w:trPr>
          <w:wBefore w:w="0" w:type="dxa"/>
          <w:wAfter w:w="0" w:type="dxa"/>
          <w:trHeight w:val="585" w:hRule="atLeast"/>
        </w:trPr>
        <w:tc>
          <w:tcPr>
            <w:tcW w:w="1149"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风险能力得分（5分）</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82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执业保险</w:t>
            </w:r>
          </w:p>
        </w:tc>
        <w:tc>
          <w:tcPr>
            <w:tcW w:w="399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无执业保险的不得分</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评委打分</w:t>
            </w:r>
          </w:p>
        </w:tc>
      </w:tr>
      <w:tr>
        <w:tblPrEx>
          <w:tblCellMar>
            <w:top w:w="0" w:type="dxa"/>
            <w:left w:w="108" w:type="dxa"/>
            <w:bottom w:w="0" w:type="dxa"/>
            <w:right w:w="108" w:type="dxa"/>
          </w:tblCellMar>
        </w:tblPrEx>
        <w:trPr>
          <w:wBefore w:w="0" w:type="dxa"/>
          <w:wAfter w:w="0" w:type="dxa"/>
          <w:trHeight w:val="1018" w:hRule="atLeast"/>
        </w:trPr>
        <w:tc>
          <w:tcPr>
            <w:tcW w:w="1149" w:type="dxa"/>
            <w:vMerge w:val="restart"/>
            <w:tcBorders>
              <w:top w:val="nil"/>
              <w:left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管理人工作经验及业绩得分（10分）</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82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2017年后的重整、和解案件总数</w:t>
            </w:r>
          </w:p>
        </w:tc>
        <w:tc>
          <w:tcPr>
            <w:tcW w:w="399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案件数排名</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排名得分</w:t>
            </w:r>
          </w:p>
        </w:tc>
      </w:tr>
      <w:tr>
        <w:tblPrEx>
          <w:tblCellMar>
            <w:top w:w="0" w:type="dxa"/>
            <w:left w:w="108" w:type="dxa"/>
            <w:bottom w:w="0" w:type="dxa"/>
            <w:right w:w="108" w:type="dxa"/>
          </w:tblCellMar>
        </w:tblPrEx>
        <w:trPr>
          <w:wBefore w:w="0" w:type="dxa"/>
          <w:wAfter w:w="0" w:type="dxa"/>
          <w:trHeight w:val="212" w:hRule="atLeast"/>
        </w:trPr>
        <w:tc>
          <w:tcPr>
            <w:tcW w:w="1149"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cs="宋体"/>
                <w:color w:val="000000"/>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822" w:type="dxa"/>
            <w:tcBorders>
              <w:top w:val="single" w:color="auto" w:sz="4" w:space="0"/>
              <w:left w:val="nil"/>
              <w:bottom w:val="single" w:color="auto" w:sz="4" w:space="0"/>
              <w:right w:val="single" w:color="auto" w:sz="4" w:space="0"/>
            </w:tcBorders>
            <w:shd w:val="clear" w:color="auto" w:fill="auto"/>
            <w:noWrap w:val="0"/>
            <w:vAlign w:val="center"/>
          </w:tcPr>
          <w:p>
            <w:pPr>
              <w:jc w:val="left"/>
              <w:rPr>
                <w:rFonts w:hint="eastAsia" w:ascii="宋体" w:hAnsi="宋体" w:cs="宋体"/>
                <w:color w:val="000000"/>
                <w:kern w:val="0"/>
                <w:sz w:val="20"/>
                <w:szCs w:val="20"/>
              </w:rPr>
            </w:pPr>
            <w:r>
              <w:rPr>
                <w:rFonts w:hint="eastAsia" w:ascii="宋体" w:hAnsi="宋体" w:cs="宋体"/>
                <w:color w:val="000000"/>
                <w:kern w:val="0"/>
                <w:sz w:val="20"/>
                <w:szCs w:val="20"/>
              </w:rPr>
              <w:t>其他</w:t>
            </w:r>
          </w:p>
        </w:tc>
        <w:tc>
          <w:tcPr>
            <w:tcW w:w="3990" w:type="dxa"/>
            <w:tcBorders>
              <w:top w:val="single" w:color="auto" w:sz="4" w:space="0"/>
              <w:left w:val="nil"/>
              <w:bottom w:val="single" w:color="auto" w:sz="4" w:space="0"/>
              <w:right w:val="single" w:color="auto" w:sz="4" w:space="0"/>
            </w:tcBorders>
            <w:shd w:val="clear" w:color="auto" w:fill="auto"/>
            <w:noWrap w:val="0"/>
            <w:vAlign w:val="center"/>
          </w:tcPr>
          <w:p>
            <w:pPr>
              <w:jc w:val="left"/>
              <w:rPr>
                <w:rFonts w:hint="eastAsia" w:ascii="宋体" w:hAnsi="宋体" w:cs="宋体"/>
                <w:color w:val="000000"/>
                <w:kern w:val="0"/>
                <w:sz w:val="20"/>
                <w:szCs w:val="20"/>
              </w:rPr>
            </w:pPr>
            <w:r>
              <w:rPr>
                <w:rFonts w:hint="eastAsia" w:ascii="宋体" w:hAnsi="宋体" w:cs="宋体"/>
                <w:color w:val="000000"/>
                <w:kern w:val="0"/>
                <w:sz w:val="20"/>
                <w:szCs w:val="20"/>
              </w:rPr>
              <w:t>日常工作中的工作态度、熟练程度、沟通、办案效率等</w:t>
            </w:r>
          </w:p>
        </w:tc>
        <w:tc>
          <w:tcPr>
            <w:tcW w:w="1701"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评委打分</w:t>
            </w:r>
          </w:p>
        </w:tc>
      </w:tr>
      <w:tr>
        <w:tblPrEx>
          <w:tblCellMar>
            <w:top w:w="0" w:type="dxa"/>
            <w:left w:w="108" w:type="dxa"/>
            <w:bottom w:w="0" w:type="dxa"/>
            <w:right w:w="108" w:type="dxa"/>
          </w:tblCellMar>
        </w:tblPrEx>
        <w:trPr>
          <w:wBefore w:w="0" w:type="dxa"/>
          <w:wAfter w:w="0" w:type="dxa"/>
          <w:trHeight w:val="480" w:hRule="atLeast"/>
        </w:trPr>
        <w:tc>
          <w:tcPr>
            <w:tcW w:w="1149"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机构存案基数（5分）</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82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在办破产案件数</w:t>
            </w:r>
          </w:p>
        </w:tc>
        <w:tc>
          <w:tcPr>
            <w:tcW w:w="399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案件数排名（倒序）</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排名得分</w:t>
            </w:r>
          </w:p>
        </w:tc>
      </w:tr>
      <w:tr>
        <w:tblPrEx>
          <w:tblCellMar>
            <w:top w:w="0" w:type="dxa"/>
            <w:left w:w="108" w:type="dxa"/>
            <w:bottom w:w="0" w:type="dxa"/>
            <w:right w:w="108" w:type="dxa"/>
          </w:tblCellMar>
        </w:tblPrEx>
        <w:trPr>
          <w:wBefore w:w="0" w:type="dxa"/>
          <w:wAfter w:w="0" w:type="dxa"/>
          <w:trHeight w:val="521" w:hRule="atLeast"/>
        </w:trPr>
        <w:tc>
          <w:tcPr>
            <w:tcW w:w="114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加减分项（+5—-2分）</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2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年度考核加分项</w:t>
            </w:r>
          </w:p>
        </w:tc>
        <w:tc>
          <w:tcPr>
            <w:tcW w:w="399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最近3年连续考核优秀次数，一次加1分</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wBefore w:w="0" w:type="dxa"/>
          <w:wAfter w:w="0" w:type="dxa"/>
          <w:trHeight w:val="476" w:hRule="atLeast"/>
        </w:trPr>
        <w:tc>
          <w:tcPr>
            <w:tcW w:w="114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709" w:type="dxa"/>
            <w:tcBorders>
              <w:top w:val="nil"/>
              <w:left w:val="nil"/>
              <w:bottom w:val="single" w:color="auto" w:sz="4" w:space="0"/>
              <w:right w:val="single" w:color="auto" w:sz="4" w:space="0"/>
            </w:tcBorders>
            <w:shd w:val="clear" w:color="auto" w:fill="auto"/>
            <w:noWrap w:val="0"/>
            <w:vAlign w:val="center"/>
          </w:tcPr>
          <w:p>
            <w:pPr>
              <w:jc w:val="center"/>
              <w:rPr>
                <w:rFonts w:ascii="宋体" w:hAnsi="宋体" w:cs="宋体"/>
                <w:kern w:val="0"/>
                <w:sz w:val="20"/>
                <w:szCs w:val="20"/>
              </w:rPr>
            </w:pPr>
            <w:r>
              <w:rPr>
                <w:rFonts w:hint="eastAsia" w:ascii="宋体" w:hAnsi="宋体" w:cs="宋体"/>
                <w:kern w:val="0"/>
                <w:sz w:val="20"/>
                <w:szCs w:val="20"/>
              </w:rPr>
              <w:t>±2</w:t>
            </w:r>
          </w:p>
        </w:tc>
        <w:tc>
          <w:tcPr>
            <w:tcW w:w="1822" w:type="dxa"/>
            <w:tcBorders>
              <w:top w:val="nil"/>
              <w:left w:val="nil"/>
              <w:right w:val="single" w:color="auto" w:sz="4" w:space="0"/>
            </w:tcBorders>
            <w:shd w:val="clear" w:color="auto" w:fill="auto"/>
            <w:noWrap w:val="0"/>
            <w:vAlign w:val="center"/>
          </w:tcPr>
          <w:p>
            <w:pPr>
              <w:jc w:val="left"/>
              <w:rPr>
                <w:rFonts w:ascii="宋体" w:hAnsi="宋体" w:cs="宋体"/>
                <w:kern w:val="0"/>
                <w:sz w:val="20"/>
                <w:szCs w:val="20"/>
              </w:rPr>
            </w:pPr>
            <w:r>
              <w:rPr>
                <w:rFonts w:hint="eastAsia" w:ascii="宋体" w:hAnsi="宋体" w:cs="宋体"/>
                <w:kern w:val="0"/>
                <w:sz w:val="20"/>
                <w:szCs w:val="20"/>
              </w:rPr>
              <w:t>其它</w:t>
            </w:r>
          </w:p>
        </w:tc>
        <w:tc>
          <w:tcPr>
            <w:tcW w:w="5691" w:type="dxa"/>
            <w:gridSpan w:val="2"/>
            <w:tcBorders>
              <w:top w:val="single" w:color="auto" w:sz="4" w:space="0"/>
              <w:left w:val="nil"/>
              <w:right w:val="single" w:color="auto" w:sz="4" w:space="0"/>
            </w:tcBorders>
            <w:shd w:val="clear" w:color="auto" w:fill="auto"/>
            <w:noWrap w:val="0"/>
            <w:vAlign w:val="center"/>
          </w:tcPr>
          <w:p>
            <w:pPr>
              <w:pStyle w:val="17"/>
              <w:rPr>
                <w:rFonts w:ascii="宋体" w:hAnsi="宋体" w:cs="宋体"/>
                <w:kern w:val="0"/>
                <w:sz w:val="20"/>
                <w:szCs w:val="20"/>
              </w:rPr>
            </w:pPr>
            <w:r>
              <w:rPr>
                <w:rFonts w:hint="eastAsia" w:ascii="宋体" w:hAnsi="宋体" w:cs="宋体"/>
                <w:i w:val="0"/>
                <w:iCs w:val="0"/>
                <w:kern w:val="0"/>
                <w:sz w:val="20"/>
                <w:szCs w:val="20"/>
              </w:rPr>
              <w:t>评审小组根据情况讨论决定(如机构级别较高、上年度履职存在瑕疵等)</w:t>
            </w:r>
          </w:p>
        </w:tc>
      </w:tr>
      <w:tr>
        <w:tblPrEx>
          <w:tblCellMar>
            <w:top w:w="0" w:type="dxa"/>
            <w:left w:w="108" w:type="dxa"/>
            <w:bottom w:w="0" w:type="dxa"/>
            <w:right w:w="108" w:type="dxa"/>
          </w:tblCellMar>
        </w:tblPrEx>
        <w:trPr>
          <w:wBefore w:w="0" w:type="dxa"/>
          <w:wAfter w:w="0" w:type="dxa"/>
          <w:trHeight w:val="841" w:hRule="atLeast"/>
        </w:trPr>
        <w:tc>
          <w:tcPr>
            <w:tcW w:w="1149" w:type="dxa"/>
            <w:tcBorders>
              <w:top w:val="nil"/>
              <w:left w:val="single" w:color="auto" w:sz="8"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总分</w:t>
            </w:r>
          </w:p>
        </w:tc>
        <w:tc>
          <w:tcPr>
            <w:tcW w:w="70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Cs/>
                <w:kern w:val="0"/>
                <w:sz w:val="20"/>
                <w:szCs w:val="20"/>
              </w:rPr>
            </w:pPr>
            <w:r>
              <w:rPr>
                <w:rFonts w:hint="eastAsia" w:ascii="宋体" w:hAnsi="宋体" w:cs="宋体"/>
                <w:bCs/>
                <w:kern w:val="0"/>
                <w:sz w:val="20"/>
                <w:szCs w:val="20"/>
              </w:rPr>
              <w:t>100分</w:t>
            </w:r>
          </w:p>
        </w:tc>
        <w:tc>
          <w:tcPr>
            <w:tcW w:w="7513" w:type="dxa"/>
            <w:gridSpan w:val="3"/>
            <w:tcBorders>
              <w:top w:val="single" w:color="auto" w:sz="4" w:space="0"/>
              <w:left w:val="nil"/>
              <w:bottom w:val="single" w:color="auto" w:sz="4" w:space="0"/>
              <w:right w:val="single" w:color="000000" w:sz="8" w:space="0"/>
            </w:tcBorders>
            <w:shd w:val="clear" w:color="auto" w:fill="auto"/>
            <w:noWrap/>
            <w:vAlign w:val="center"/>
          </w:tcPr>
          <w:p>
            <w:pPr>
              <w:pStyle w:val="17"/>
              <w:rPr>
                <w:i w:val="0"/>
              </w:rPr>
            </w:pPr>
            <w:r>
              <w:rPr>
                <w:rFonts w:hint="eastAsia" w:ascii="宋体" w:hAnsi="宋体" w:cs="宋体"/>
                <w:i w:val="0"/>
                <w:iCs w:val="0"/>
                <w:kern w:val="0"/>
                <w:sz w:val="20"/>
                <w:szCs w:val="20"/>
              </w:rPr>
              <w:t>前5-6名列入备选，最后一名分数并列的，一并列入备选，摇号确定管理人。</w:t>
            </w:r>
          </w:p>
        </w:tc>
      </w:tr>
    </w:tbl>
    <w:p>
      <w:pPr>
        <w:spacing w:line="200" w:lineRule="exact"/>
        <w:ind w:right="227"/>
        <w:rPr>
          <w:rFonts w:hint="eastAsia"/>
        </w:rPr>
      </w:pPr>
    </w:p>
    <w:p>
      <w:pPr>
        <w:spacing w:line="200" w:lineRule="exact"/>
        <w:ind w:right="227"/>
        <w:rPr>
          <w:rFonts w:hint="eastAsia"/>
        </w:rPr>
      </w:pPr>
    </w:p>
    <w:p>
      <w:pPr>
        <w:spacing w:line="200" w:lineRule="exact"/>
        <w:ind w:right="227"/>
        <w:rPr>
          <w:rFonts w:hint="eastAsia"/>
        </w:rPr>
      </w:pPr>
    </w:p>
    <w:p>
      <w:pPr>
        <w:spacing w:line="200" w:lineRule="exact"/>
        <w:ind w:right="227"/>
        <w:rPr>
          <w:rFonts w:hint="eastAsia"/>
        </w:rPr>
      </w:pPr>
    </w:p>
    <w:p>
      <w:pPr>
        <w:spacing w:line="200" w:lineRule="exact"/>
        <w:ind w:right="227"/>
        <w:rPr>
          <w:rFonts w:hint="eastAsia"/>
        </w:rPr>
      </w:pPr>
    </w:p>
    <w:p>
      <w:pPr>
        <w:spacing w:line="200" w:lineRule="exact"/>
        <w:ind w:right="227"/>
        <w:rPr>
          <w:rFonts w:hint="eastAsia"/>
        </w:rPr>
      </w:pPr>
    </w:p>
    <w:p>
      <w:pPr>
        <w:spacing w:line="600" w:lineRule="exact"/>
        <w:ind w:right="226"/>
        <w:rPr>
          <w:rFonts w:ascii="仿宋" w:hAnsi="仿宋" w:eastAsia="仿宋"/>
          <w:sz w:val="28"/>
          <w:szCs w:val="28"/>
        </w:rPr>
      </w:pPr>
      <w:r>
        <w:rPr>
          <w:lang/>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43815</wp:posOffset>
                </wp:positionV>
                <wp:extent cx="5753100" cy="0"/>
                <wp:effectExtent l="0" t="8255" r="0" b="7620"/>
                <wp:wrapNone/>
                <wp:docPr id="4" name="直接连接符 4"/>
                <wp:cNvGraphicFramePr/>
                <a:graphic xmlns:a="http://schemas.openxmlformats.org/drawingml/2006/main">
                  <a:graphicData uri="http://schemas.microsoft.com/office/word/2010/wordprocessingShape">
                    <wps:wsp>
                      <wps:cNvCnPr/>
                      <wps:spPr>
                        <a:xfrm>
                          <a:off x="0" y="0"/>
                          <a:ext cx="5753100" cy="0"/>
                        </a:xfrm>
                        <a:prstGeom prst="line">
                          <a:avLst/>
                        </a:prstGeom>
                        <a:noFill/>
                        <a:ln w="1587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2.3pt;margin-top:3.45pt;height:0pt;width:453pt;z-index:251660288;mso-width-relative:margin;mso-height-relative:margin;" filled="f" stroked="t" coordsize="21600,21600" o:gfxdata="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jRV/51QAAAAYBAAAPAAAAAAAAAAEAIAAAACIAAABkcnMvZG93&#10;bnJldi54bWxQSwECFAAUAAAACACHTuJAdpw/4wMCAAD1AwAADgAAAAAAAAABACAAAAAkAQAAZHJz&#10;L2Uyb0RvYy54bWxQSwUGAAAAAAYABgBZAQAAmQUAAAAA&#10;">
                <v:fill on="f" focussize="0,0"/>
                <v:stroke weight="1.25pt" color="#000000" joinstyle="round"/>
                <v:imagedata o:title=""/>
                <o:lock v:ext="edit" aspectratio="f"/>
              </v:line>
            </w:pict>
          </mc:Fallback>
        </mc:AlternateContent>
      </w:r>
      <w:r>
        <w:rPr>
          <w:rFonts w:hint="eastAsia" w:ascii="仿宋" w:hAnsi="仿宋" w:eastAsia="仿宋"/>
          <w:sz w:val="28"/>
          <w:szCs w:val="28"/>
        </w:rPr>
        <w:t>苏州市中级人民法院</w:t>
      </w:r>
      <w:r>
        <w:rPr>
          <w:rFonts w:hint="eastAsia" w:ascii="仿宋" w:hAnsi="仿宋" w:eastAsia="仿宋"/>
          <w:kern w:val="0"/>
          <w:sz w:val="28"/>
          <w:szCs w:val="28"/>
        </w:rPr>
        <w:t>办公室</w:t>
      </w:r>
      <w:r>
        <w:rPr>
          <w:rFonts w:hint="eastAsia" w:ascii="仿宋" w:hAnsi="仿宋" w:eastAsia="仿宋"/>
          <w:sz w:val="28"/>
          <w:szCs w:val="28"/>
        </w:rPr>
        <w:t xml:space="preserve">                  2022年10月11日印发</w:t>
      </w:r>
    </w:p>
    <w:p>
      <w:pPr>
        <w:spacing w:line="200" w:lineRule="exact"/>
        <w:ind w:right="227"/>
      </w:pPr>
      <w:r>
        <w:rPr>
          <w:lang/>
        </w:rPr>
        <mc:AlternateContent>
          <mc:Choice Requires="wps">
            <w:drawing>
              <wp:anchor distT="0" distB="0" distL="114300" distR="114300" simplePos="0" relativeHeight="251661312" behindDoc="0" locked="0" layoutInCell="1" allowOverlap="1">
                <wp:simplePos x="0" y="0"/>
                <wp:positionH relativeFrom="column">
                  <wp:posOffset>-30480</wp:posOffset>
                </wp:positionH>
                <wp:positionV relativeFrom="paragraph">
                  <wp:posOffset>43815</wp:posOffset>
                </wp:positionV>
                <wp:extent cx="5753100" cy="0"/>
                <wp:effectExtent l="0" t="8255" r="0" b="7620"/>
                <wp:wrapNone/>
                <wp:docPr id="1" name="直接连接符 1"/>
                <wp:cNvGraphicFramePr/>
                <a:graphic xmlns:a="http://schemas.openxmlformats.org/drawingml/2006/main">
                  <a:graphicData uri="http://schemas.microsoft.com/office/word/2010/wordprocessingShape">
                    <wps:wsp>
                      <wps:cNvCnPr/>
                      <wps:spPr>
                        <a:xfrm>
                          <a:off x="0" y="0"/>
                          <a:ext cx="5753100" cy="0"/>
                        </a:xfrm>
                        <a:prstGeom prst="line">
                          <a:avLst/>
                        </a:prstGeom>
                        <a:noFill/>
                        <a:ln w="1587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2.4pt;margin-top:3.45pt;height:0pt;width:453pt;z-index:251661312;mso-width-relative:margin;mso-height-relative:margin;" filled="f" stroked="t" coordsize="21600,21600" o:gfxdata="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O6bb/VAAAABgEAAA8AAAAAAAAAAQAgAAAAIgAAAGRycy9kb3du&#10;cmV2LnhtbFBLAQIUABQAAAAIAIdO4kBYGBfjAgIAAPUDAAAOAAAAAAAAAAEAIAAAACQBAABkcnMv&#10;ZTJvRG9jLnhtbFBLBQYAAAAABgAGAFkBAACYBQAAAAA=&#10;">
                <v:fill on="f" focussize="0,0"/>
                <v:stroke weight="1.25pt" color="#000000" joinstyle="round"/>
                <v:imagedata o:title=""/>
                <o:lock v:ext="edit" aspectratio="f"/>
              </v:line>
            </w:pict>
          </mc:Fallback>
        </mc:AlternateContent>
      </w:r>
    </w:p>
    <w:sectPr>
      <w:footerReference r:id="rId3" w:type="default"/>
      <w:footerReference r:id="rId4" w:type="even"/>
      <w:pgSz w:w="11906" w:h="16838"/>
      <w:pgMar w:top="1134" w:right="1134" w:bottom="1134" w:left="1134"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hint="eastAsia" w:ascii="宋体"/>
        <w:sz w:val="28"/>
        <w:szCs w:val="28"/>
      </w:rPr>
      <w:t>—</w:t>
    </w:r>
    <w:r>
      <w:rPr>
        <w:rFonts w:hint="eastAsia"/>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hint="eastAsia" w:asci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ascii="宋体"/>
        <w:sz w:val="28"/>
        <w:szCs w:val="28"/>
      </w:rPr>
      <w:t>—</w:t>
    </w:r>
    <w:r>
      <w:rPr>
        <w:rFonts w:hint="eastAsia"/>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r>
      <w:rPr>
        <w:rFonts w:hint="eastAsia" w:asci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forms" w:enforcement="1" w:cryptProviderType="rsaFull" w:cryptAlgorithmClass="hash" w:cryptAlgorithmType="typeAny" w:cryptAlgorithmSid="4" w:cryptSpinCount="0" w:hash="DBe5dN8AmpCvX2Fad1foaAPplYI=" w:salt="yy4PXfnCxXLyKzRULELGOg=="/>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0E67FC1D-0525-4A58-8977-4302BB785E04}" w:val="13Z4LnfxPq+=db7iCHYNcp8AuvXIrK/5BjmFWgyo6hMGSU9wTOektVzJEQl02saRD"/>
    <w:docVar w:name="{1E173E0D-1C80-41A1-A783-52711C9CF43F}" w:val="xh8pIRtVzevO5aQ3my4/AUYwgFb0LfqrB9niZ7dPTMXl=HNEcCDKkJSjG2+1so6Wu"/>
    <w:docVar w:name="{DADD2EB7-A872-45BD-897E-681ACEFEC8EB}" w:val="13Z4LnfxPq+=db7iCHYNcp8AuvXIrK/5BjmFWgyo6hMGSU9wTOektVzJEQl02saRD"/>
    <w:docVar w:name="DocumentID" w:val="{2630A2E4-08A8-464C-BBD2-42E0AAE063C6}_2"/>
  </w:docVars>
  <w:rsids>
    <w:rsidRoot w:val="00E83242"/>
    <w:rsid w:val="00005202"/>
    <w:rsid w:val="000309DA"/>
    <w:rsid w:val="00081A68"/>
    <w:rsid w:val="000C053F"/>
    <w:rsid w:val="00125D93"/>
    <w:rsid w:val="00130C04"/>
    <w:rsid w:val="00156130"/>
    <w:rsid w:val="00187B26"/>
    <w:rsid w:val="00190258"/>
    <w:rsid w:val="001939AD"/>
    <w:rsid w:val="001B07A6"/>
    <w:rsid w:val="001B678E"/>
    <w:rsid w:val="001E69AF"/>
    <w:rsid w:val="00205F18"/>
    <w:rsid w:val="00224D79"/>
    <w:rsid w:val="0024754A"/>
    <w:rsid w:val="00256957"/>
    <w:rsid w:val="00292310"/>
    <w:rsid w:val="00295E90"/>
    <w:rsid w:val="002D5B89"/>
    <w:rsid w:val="002F1894"/>
    <w:rsid w:val="00304D66"/>
    <w:rsid w:val="003130C3"/>
    <w:rsid w:val="00313B6E"/>
    <w:rsid w:val="00335AA9"/>
    <w:rsid w:val="0034787D"/>
    <w:rsid w:val="003610AC"/>
    <w:rsid w:val="00381702"/>
    <w:rsid w:val="00395365"/>
    <w:rsid w:val="003955B0"/>
    <w:rsid w:val="003C0F95"/>
    <w:rsid w:val="003C6F73"/>
    <w:rsid w:val="003E3C4B"/>
    <w:rsid w:val="00400826"/>
    <w:rsid w:val="00406AE1"/>
    <w:rsid w:val="004606FA"/>
    <w:rsid w:val="0047002B"/>
    <w:rsid w:val="004725F1"/>
    <w:rsid w:val="00485B71"/>
    <w:rsid w:val="004874B4"/>
    <w:rsid w:val="00491B95"/>
    <w:rsid w:val="004939EC"/>
    <w:rsid w:val="004A266D"/>
    <w:rsid w:val="004B0133"/>
    <w:rsid w:val="004C12D0"/>
    <w:rsid w:val="004F1305"/>
    <w:rsid w:val="004F58DF"/>
    <w:rsid w:val="00513410"/>
    <w:rsid w:val="00532D7C"/>
    <w:rsid w:val="00540557"/>
    <w:rsid w:val="0054526D"/>
    <w:rsid w:val="005A2241"/>
    <w:rsid w:val="005B26AB"/>
    <w:rsid w:val="005D191C"/>
    <w:rsid w:val="005D4FC3"/>
    <w:rsid w:val="005E782F"/>
    <w:rsid w:val="0060339A"/>
    <w:rsid w:val="00613B2B"/>
    <w:rsid w:val="006240A2"/>
    <w:rsid w:val="00624652"/>
    <w:rsid w:val="00672EDB"/>
    <w:rsid w:val="0067354A"/>
    <w:rsid w:val="006B6028"/>
    <w:rsid w:val="006B71CB"/>
    <w:rsid w:val="006C07F1"/>
    <w:rsid w:val="006E5638"/>
    <w:rsid w:val="006F2184"/>
    <w:rsid w:val="007075CF"/>
    <w:rsid w:val="00713CA4"/>
    <w:rsid w:val="00722F71"/>
    <w:rsid w:val="00727E33"/>
    <w:rsid w:val="00750B0A"/>
    <w:rsid w:val="00750FE8"/>
    <w:rsid w:val="00772458"/>
    <w:rsid w:val="007C22B0"/>
    <w:rsid w:val="007E7183"/>
    <w:rsid w:val="007F3079"/>
    <w:rsid w:val="008113F3"/>
    <w:rsid w:val="008170A1"/>
    <w:rsid w:val="00823DF7"/>
    <w:rsid w:val="00845A3A"/>
    <w:rsid w:val="008C144B"/>
    <w:rsid w:val="008C1EC7"/>
    <w:rsid w:val="008D076A"/>
    <w:rsid w:val="008D6B5F"/>
    <w:rsid w:val="008F61EE"/>
    <w:rsid w:val="00911410"/>
    <w:rsid w:val="00942D85"/>
    <w:rsid w:val="00952830"/>
    <w:rsid w:val="009567D2"/>
    <w:rsid w:val="00982FBE"/>
    <w:rsid w:val="009859D1"/>
    <w:rsid w:val="00985C93"/>
    <w:rsid w:val="009B770A"/>
    <w:rsid w:val="009C31C7"/>
    <w:rsid w:val="00A02E67"/>
    <w:rsid w:val="00A1633E"/>
    <w:rsid w:val="00A748CD"/>
    <w:rsid w:val="00AB3E54"/>
    <w:rsid w:val="00AD04E0"/>
    <w:rsid w:val="00AD20E9"/>
    <w:rsid w:val="00AE2B64"/>
    <w:rsid w:val="00B04F54"/>
    <w:rsid w:val="00B066AF"/>
    <w:rsid w:val="00B1450B"/>
    <w:rsid w:val="00B41433"/>
    <w:rsid w:val="00B479AF"/>
    <w:rsid w:val="00B63D87"/>
    <w:rsid w:val="00B71CB7"/>
    <w:rsid w:val="00B81457"/>
    <w:rsid w:val="00B86027"/>
    <w:rsid w:val="00B9079F"/>
    <w:rsid w:val="00B927F2"/>
    <w:rsid w:val="00B93727"/>
    <w:rsid w:val="00B9566F"/>
    <w:rsid w:val="00BB7444"/>
    <w:rsid w:val="00C20B7F"/>
    <w:rsid w:val="00C40E7D"/>
    <w:rsid w:val="00C7740D"/>
    <w:rsid w:val="00C92463"/>
    <w:rsid w:val="00CC0D7E"/>
    <w:rsid w:val="00CF64D2"/>
    <w:rsid w:val="00D02D6F"/>
    <w:rsid w:val="00D24C04"/>
    <w:rsid w:val="00D272F3"/>
    <w:rsid w:val="00D56A0D"/>
    <w:rsid w:val="00D65B7D"/>
    <w:rsid w:val="00DB115F"/>
    <w:rsid w:val="00DD0274"/>
    <w:rsid w:val="00DF3D6B"/>
    <w:rsid w:val="00E20F19"/>
    <w:rsid w:val="00E6627E"/>
    <w:rsid w:val="00E83242"/>
    <w:rsid w:val="00E85C6E"/>
    <w:rsid w:val="00EA46C5"/>
    <w:rsid w:val="00EB1B5E"/>
    <w:rsid w:val="00F16C6D"/>
    <w:rsid w:val="00F448B2"/>
    <w:rsid w:val="00F5446C"/>
    <w:rsid w:val="00F57F50"/>
    <w:rsid w:val="00F836AB"/>
    <w:rsid w:val="00F852DC"/>
    <w:rsid w:val="00F93495"/>
    <w:rsid w:val="00F95917"/>
    <w:rsid w:val="00FA4AB7"/>
    <w:rsid w:val="00FA5941"/>
    <w:rsid w:val="00FB236D"/>
    <w:rsid w:val="00FE01A8"/>
    <w:rsid w:val="00FE19DA"/>
    <w:rsid w:val="537976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Style w:val="7"/>
      <w:tblCellMar>
        <w:top w:w="0" w:type="dxa"/>
        <w:left w:w="108" w:type="dxa"/>
        <w:bottom w:w="0" w:type="dxa"/>
        <w:right w:w="108" w:type="dxa"/>
      </w:tblCellMar>
    </w:tblPr>
    <w:trPr>
      <w:wBefore w:w="0" w:type="dxa"/>
    </w:trPr>
  </w:style>
  <w:style w:type="paragraph" w:styleId="2">
    <w:name w:val="Document Map"/>
    <w:basedOn w:val="1"/>
    <w:link w:val="16"/>
    <w:semiHidden/>
    <w:unhideWhenUsed/>
    <w:uiPriority w:val="99"/>
    <w:rPr>
      <w:rFonts w:ascii="宋体" w:eastAsia="宋体"/>
      <w:sz w:val="18"/>
      <w:szCs w:val="18"/>
    </w:rPr>
  </w:style>
  <w:style w:type="paragraph" w:styleId="3">
    <w:name w:val="Date"/>
    <w:basedOn w:val="1"/>
    <w:next w:val="1"/>
    <w:link w:val="14"/>
    <w:semiHidden/>
    <w:unhideWhenUsed/>
    <w:uiPriority w:val="99"/>
    <w:pPr>
      <w:ind w:left="100" w:leftChars="2500"/>
    </w:pPr>
  </w:style>
  <w:style w:type="paragraph" w:styleId="4">
    <w:name w:val="Balloon Text"/>
    <w:basedOn w:val="1"/>
    <w:link w:val="12"/>
    <w:semiHidden/>
    <w:unhideWhenUsed/>
    <w:uiPriority w:val="99"/>
    <w:rPr>
      <w:sz w:val="18"/>
      <w:szCs w:val="18"/>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59"/>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Char"/>
    <w:link w:val="5"/>
    <w:uiPriority w:val="99"/>
    <w:rPr>
      <w:sz w:val="18"/>
      <w:szCs w:val="18"/>
    </w:rPr>
  </w:style>
  <w:style w:type="character" w:customStyle="1" w:styleId="11">
    <w:name w:val="页眉 Char"/>
    <w:link w:val="6"/>
    <w:uiPriority w:val="99"/>
    <w:rPr>
      <w:sz w:val="18"/>
      <w:szCs w:val="18"/>
    </w:rPr>
  </w:style>
  <w:style w:type="character" w:customStyle="1" w:styleId="12">
    <w:name w:val="批注框文本 Char"/>
    <w:link w:val="4"/>
    <w:semiHidden/>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Char"/>
    <w:basedOn w:val="9"/>
    <w:link w:val="3"/>
    <w:semiHidden/>
    <w:uiPriority w:val="99"/>
  </w:style>
  <w:style w:type="paragraph" w:customStyle="1" w:styleId="15">
    <w:name w:val="Char"/>
    <w:basedOn w:val="2"/>
    <w:uiPriority w:val="0"/>
    <w:pPr>
      <w:shd w:val="clear" w:color="auto" w:fill="000080"/>
      <w:adjustRightInd w:val="0"/>
      <w:spacing w:line="436" w:lineRule="exact"/>
      <w:ind w:left="357"/>
      <w:jc w:val="left"/>
      <w:outlineLvl w:val="3"/>
    </w:pPr>
    <w:rPr>
      <w:rFonts w:ascii="Times New Roman" w:hAnsi="Times New Roman" w:cs="Times New Roman"/>
      <w:sz w:val="21"/>
      <w:szCs w:val="21"/>
    </w:rPr>
  </w:style>
  <w:style w:type="character" w:customStyle="1" w:styleId="16">
    <w:name w:val="文档结构图 Char"/>
    <w:link w:val="2"/>
    <w:semiHidden/>
    <w:uiPriority w:val="99"/>
    <w:rPr>
      <w:rFonts w:ascii="宋体" w:eastAsia="宋体"/>
      <w:sz w:val="18"/>
      <w:szCs w:val="18"/>
    </w:rPr>
  </w:style>
  <w:style w:type="paragraph" w:styleId="17">
    <w:name w:val="Quote"/>
    <w:basedOn w:val="1"/>
    <w:next w:val="1"/>
    <w:link w:val="18"/>
    <w:qFormat/>
    <w:uiPriority w:val="29"/>
    <w:rPr>
      <w:rFonts w:ascii="Times New Roman" w:hAnsi="Times New Roman" w:eastAsia="宋体" w:cs="Times New Roman"/>
      <w:i/>
      <w:iCs/>
      <w:color w:val="000000"/>
      <w:szCs w:val="24"/>
    </w:rPr>
  </w:style>
  <w:style w:type="character" w:customStyle="1" w:styleId="18">
    <w:name w:val="引用 Char"/>
    <w:link w:val="17"/>
    <w:uiPriority w:val="29"/>
    <w:rPr>
      <w:rFonts w:ascii="Times New Roman" w:hAnsi="Times New Roman" w:eastAsia="宋体" w:cs="Times New Roman"/>
      <w:i/>
      <w:iCs/>
      <w:color w:val="00000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941</Words>
  <Characters>960</Characters>
  <Lines>106</Lines>
  <Paragraphs>95</Paragraphs>
  <TotalTime>0</TotalTime>
  <ScaleCrop>false</ScaleCrop>
  <LinksUpToDate>false</LinksUpToDate>
  <CharactersWithSpaces>1806</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2023-07-10T02:02:00Z</dcterms:created>
  <dc:creator>周雯莉</dc:creator>
  <cp:lastModifiedBy>居居</cp:lastModifiedBy>
  <cp:lastPrinted>2022-10-24T01:54:00Z</cp:lastPrinted>
  <dcterms:modified xsi:type="dcterms:W3CDTF">2023-07-10T02:05:49Z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72906C779A0B4B51A3FEF27AA1F014BC_13</vt:lpwstr>
  </property>
</Properties>
</file>