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4C8" w:rsidRPr="00E95A71" w:rsidRDefault="00DB36AA" w:rsidP="0086182B">
      <w:pPr>
        <w:spacing w:line="560" w:lineRule="exact"/>
        <w:jc w:val="center"/>
        <w:rPr>
          <w:rFonts w:ascii="宋体" w:hAnsi="宋体"/>
          <w:b/>
          <w:sz w:val="30"/>
          <w:szCs w:val="30"/>
        </w:rPr>
      </w:pPr>
      <w:r w:rsidRPr="00E95A71">
        <w:rPr>
          <w:rFonts w:ascii="宋体" w:hAnsi="宋体" w:hint="eastAsia"/>
          <w:b/>
          <w:sz w:val="30"/>
          <w:szCs w:val="30"/>
        </w:rPr>
        <w:t>繁简分流背景下传统法院电子送达的探索与实践</w:t>
      </w:r>
    </w:p>
    <w:p w:rsidR="000954C8" w:rsidRPr="00E95A71" w:rsidRDefault="005C5469" w:rsidP="00667724">
      <w:pPr>
        <w:spacing w:line="560" w:lineRule="exact"/>
        <w:ind w:right="-58"/>
        <w:rPr>
          <w:rFonts w:ascii="楷体" w:eastAsia="楷体" w:hAnsi="楷体"/>
          <w:sz w:val="30"/>
          <w:szCs w:val="30"/>
        </w:rPr>
      </w:pPr>
      <w:r w:rsidRPr="00E95A71">
        <w:rPr>
          <w:rFonts w:ascii="楷体" w:eastAsia="楷体" w:hAnsi="楷体"/>
          <w:sz w:val="30"/>
          <w:szCs w:val="30"/>
        </w:rPr>
        <w:t>——</w:t>
      </w:r>
      <w:r w:rsidR="00DB36AA" w:rsidRPr="00E95A71">
        <w:rPr>
          <w:rFonts w:ascii="楷体" w:eastAsia="楷体" w:hAnsi="楷体" w:hint="eastAsia"/>
          <w:sz w:val="30"/>
          <w:szCs w:val="30"/>
        </w:rPr>
        <w:t>江苏省苏州市相城区人民法院综合集约电子送达模式发展调研报告</w:t>
      </w:r>
    </w:p>
    <w:p w:rsidR="000954C8" w:rsidRPr="00E95A71" w:rsidRDefault="00DB36AA" w:rsidP="0086182B">
      <w:pPr>
        <w:spacing w:line="560" w:lineRule="exact"/>
        <w:jc w:val="center"/>
        <w:rPr>
          <w:rFonts w:ascii="宋体" w:hAnsi="宋体"/>
          <w:color w:val="000000" w:themeColor="text1"/>
          <w:sz w:val="30"/>
          <w:szCs w:val="30"/>
        </w:rPr>
      </w:pPr>
      <w:r w:rsidRPr="00E95A71">
        <w:rPr>
          <w:rFonts w:ascii="楷体" w:eastAsia="楷体" w:hAnsi="楷体" w:hint="eastAsia"/>
          <w:sz w:val="30"/>
          <w:szCs w:val="30"/>
        </w:rPr>
        <w:t>苏州市相城区人民法院课题组</w:t>
      </w:r>
      <w:r w:rsidRPr="00E95A71">
        <w:rPr>
          <w:rStyle w:val="ae"/>
          <w:rFonts w:ascii="宋体" w:hAnsi="宋体"/>
          <w:sz w:val="30"/>
          <w:szCs w:val="30"/>
        </w:rPr>
        <w:footnoteReference w:id="2"/>
      </w:r>
    </w:p>
    <w:p w:rsidR="0086182B" w:rsidRPr="00E95A71" w:rsidRDefault="0086182B" w:rsidP="0086182B">
      <w:pPr>
        <w:spacing w:line="560" w:lineRule="exact"/>
        <w:ind w:firstLine="629"/>
        <w:rPr>
          <w:rFonts w:ascii="黑体" w:eastAsia="黑体" w:hAnsi="黑体"/>
          <w:bCs/>
          <w:sz w:val="30"/>
          <w:szCs w:val="30"/>
        </w:rPr>
      </w:pPr>
    </w:p>
    <w:p w:rsidR="000954C8" w:rsidRPr="00E95A71" w:rsidRDefault="00DB36AA" w:rsidP="0086182B">
      <w:pPr>
        <w:spacing w:line="560" w:lineRule="exact"/>
        <w:ind w:firstLine="629"/>
        <w:rPr>
          <w:rFonts w:ascii="楷体" w:eastAsia="楷体" w:hAnsi="楷体"/>
          <w:kern w:val="0"/>
          <w:sz w:val="30"/>
          <w:szCs w:val="30"/>
        </w:rPr>
      </w:pPr>
      <w:r w:rsidRPr="00E95A71">
        <w:rPr>
          <w:rFonts w:ascii="黑体" w:eastAsia="黑体" w:hAnsi="黑体" w:hint="eastAsia"/>
          <w:bCs/>
          <w:sz w:val="30"/>
          <w:szCs w:val="30"/>
        </w:rPr>
        <w:t>摘要：</w:t>
      </w:r>
      <w:r w:rsidR="004A7490" w:rsidRPr="00E95A71">
        <w:rPr>
          <w:rStyle w:val="ad"/>
          <w:rFonts w:ascii="楷体" w:eastAsia="楷体" w:hAnsi="楷体" w:cs="楷体" w:hint="eastAsia"/>
          <w:sz w:val="30"/>
          <w:szCs w:val="30"/>
        </w:rPr>
        <w:t>民事送达程序本质上是解决法院和当事人之间的信息传递和交互，以此保障当事人诉讼知情权和参与权。</w:t>
      </w:r>
      <w:r w:rsidR="004A7490" w:rsidRPr="00E95A71">
        <w:rPr>
          <w:rFonts w:ascii="楷体" w:eastAsia="楷体" w:hAnsi="楷体" w:hint="eastAsia"/>
          <w:sz w:val="30"/>
          <w:szCs w:val="30"/>
        </w:rPr>
        <w:t>为</w:t>
      </w:r>
      <w:r w:rsidR="004A7490" w:rsidRPr="00E95A71">
        <w:rPr>
          <w:rFonts w:ascii="楷体" w:eastAsia="楷体" w:hAnsi="楷体" w:hint="eastAsia"/>
          <w:kern w:val="0"/>
          <w:sz w:val="30"/>
          <w:szCs w:val="30"/>
        </w:rPr>
        <w:t>缓解司法资源供需矛盾、突破送达工作困境、降低送达工作成本及顺应电子诉讼改革的需要，</w:t>
      </w:r>
      <w:r w:rsidR="004A7490" w:rsidRPr="00E95A71">
        <w:rPr>
          <w:rFonts w:ascii="楷体" w:eastAsia="楷体" w:hAnsi="楷体"/>
          <w:kern w:val="0"/>
          <w:sz w:val="30"/>
          <w:szCs w:val="30"/>
        </w:rPr>
        <w:t>2019年以来，江苏省苏州市相城区人民法院构建以电子送达为核心的一站式综合集约电子送达中心，融合电子送达、律师平台送达、邮寄送达、网格协助送达、公告送达等手段形成“一中心、二结合、三对接、五步走”的综合</w:t>
      </w:r>
      <w:r w:rsidR="004A7490" w:rsidRPr="00E95A71">
        <w:rPr>
          <w:rFonts w:ascii="楷体" w:eastAsia="楷体" w:hAnsi="楷体" w:hint="eastAsia"/>
          <w:kern w:val="0"/>
          <w:sz w:val="30"/>
          <w:szCs w:val="30"/>
        </w:rPr>
        <w:t>集约电子送达工作格</w:t>
      </w:r>
      <w:r w:rsidR="004A7490" w:rsidRPr="00E95A71">
        <w:rPr>
          <w:rFonts w:ascii="楷体" w:eastAsia="楷体" w:hAnsi="楷体" w:hint="eastAsia"/>
          <w:color w:val="000000" w:themeColor="text1"/>
          <w:kern w:val="0"/>
          <w:sz w:val="30"/>
          <w:szCs w:val="30"/>
        </w:rPr>
        <w:t>局。一站式综合集约电子送达模式，是传统法院在繁简分流改革背景下，</w:t>
      </w:r>
      <w:r w:rsidR="004A7490" w:rsidRPr="00E95A71">
        <w:rPr>
          <w:rFonts w:ascii="楷体" w:eastAsia="楷体" w:hAnsi="楷体" w:hint="eastAsia"/>
          <w:kern w:val="0"/>
          <w:sz w:val="30"/>
          <w:szCs w:val="30"/>
        </w:rPr>
        <w:t>利用信息技术改良优化工作模式、能动提升工作水平的最新实践，在有力提升送达效率、压降送达成本、缓解人案矛盾的同时，有效提升了审判质效。本文在梳理总结综合集约电子送达模式运行一年来成效及不足的基础上，就未来电子诉讼工作开展，提出了以电子送达为核心</w:t>
      </w:r>
      <w:r w:rsidR="004A7490" w:rsidRPr="00E95A71">
        <w:rPr>
          <w:rFonts w:ascii="楷体" w:eastAsia="楷体" w:hAnsi="楷体" w:cs="楷体" w:hint="eastAsia"/>
          <w:bCs/>
          <w:kern w:val="0"/>
          <w:sz w:val="30"/>
          <w:szCs w:val="30"/>
        </w:rPr>
        <w:t>构建“三分法”综合集约送达机制、</w:t>
      </w:r>
      <w:r w:rsidR="00826359" w:rsidRPr="00E95A71">
        <w:rPr>
          <w:rFonts w:ascii="楷体" w:eastAsia="楷体" w:hAnsi="楷体" w:cs="楷体" w:hint="eastAsia"/>
          <w:color w:val="000000"/>
          <w:sz w:val="30"/>
          <w:szCs w:val="30"/>
        </w:rPr>
        <w:t>以区块链技术为保证确保电子送达安全有效、</w:t>
      </w:r>
      <w:r w:rsidR="00826359" w:rsidRPr="00E95A71">
        <w:rPr>
          <w:rFonts w:ascii="楷体" w:eastAsia="楷体" w:hAnsi="楷体" w:cs="楷体" w:hint="eastAsia"/>
          <w:bCs/>
          <w:color w:val="000000"/>
          <w:sz w:val="30"/>
          <w:szCs w:val="30"/>
        </w:rPr>
        <w:t>以精准地址库为依托扩大电子送达工作覆盖面、</w:t>
      </w:r>
      <w:r w:rsidR="00826359" w:rsidRPr="00E95A71">
        <w:rPr>
          <w:rFonts w:ascii="楷体" w:eastAsia="楷体" w:hAnsi="楷体" w:hint="eastAsia"/>
          <w:color w:val="000000"/>
          <w:sz w:val="30"/>
          <w:szCs w:val="30"/>
        </w:rPr>
        <w:t>以增量扩容为方向借助律师平台实现全域电子送达、</w:t>
      </w:r>
      <w:r w:rsidR="00826359" w:rsidRPr="00E95A71">
        <w:rPr>
          <w:rFonts w:ascii="楷体" w:eastAsia="楷体" w:hAnsi="楷体" w:cs="楷体" w:hint="eastAsia"/>
          <w:bCs/>
          <w:color w:val="000000"/>
          <w:sz w:val="30"/>
          <w:szCs w:val="30"/>
        </w:rPr>
        <w:t>以送达剥离为手段提升电子送达适用率、</w:t>
      </w:r>
      <w:r w:rsidR="00826359" w:rsidRPr="00E95A71">
        <w:rPr>
          <w:rFonts w:ascii="楷体" w:eastAsia="楷体" w:hAnsi="楷体" w:hint="eastAsia"/>
          <w:color w:val="000000"/>
          <w:sz w:val="30"/>
          <w:szCs w:val="30"/>
        </w:rPr>
        <w:t>以内外交互为关键提升当事人配合电子送达积极性、</w:t>
      </w:r>
      <w:r w:rsidR="00826359" w:rsidRPr="00E95A71">
        <w:rPr>
          <w:rFonts w:ascii="楷体" w:eastAsia="楷体" w:hAnsi="楷体" w:hint="eastAsia"/>
          <w:bCs/>
          <w:color w:val="000000"/>
          <w:sz w:val="30"/>
          <w:szCs w:val="30"/>
        </w:rPr>
        <w:lastRenderedPageBreak/>
        <w:t>以外部协作为抓手深化电子送达工作效率效果、</w:t>
      </w:r>
      <w:r w:rsidR="00826359" w:rsidRPr="00E95A71">
        <w:rPr>
          <w:rFonts w:ascii="楷体" w:eastAsia="楷体" w:hAnsi="楷体" w:cs="楷体" w:hint="eastAsia"/>
          <w:bCs/>
          <w:color w:val="000000"/>
          <w:sz w:val="30"/>
          <w:szCs w:val="30"/>
        </w:rPr>
        <w:t>以电子平台为突破提升公告案件办理效率</w:t>
      </w:r>
      <w:r w:rsidR="004A7490" w:rsidRPr="00E95A71">
        <w:rPr>
          <w:rFonts w:ascii="楷体" w:eastAsia="楷体" w:hAnsi="楷体" w:cs="楷体" w:hint="eastAsia"/>
          <w:bCs/>
          <w:kern w:val="0"/>
          <w:sz w:val="30"/>
          <w:szCs w:val="30"/>
        </w:rPr>
        <w:t>等</w:t>
      </w:r>
      <w:r w:rsidR="008D0D1A" w:rsidRPr="00E95A71">
        <w:rPr>
          <w:rFonts w:ascii="楷体" w:eastAsia="楷体" w:hAnsi="楷体" w:cs="楷体" w:hint="eastAsia"/>
          <w:bCs/>
          <w:kern w:val="0"/>
          <w:sz w:val="30"/>
          <w:szCs w:val="30"/>
        </w:rPr>
        <w:t>八</w:t>
      </w:r>
      <w:r w:rsidR="004A7490" w:rsidRPr="00E95A71">
        <w:rPr>
          <w:rFonts w:ascii="楷体" w:eastAsia="楷体" w:hAnsi="楷体" w:cs="楷体" w:hint="eastAsia"/>
          <w:bCs/>
          <w:kern w:val="0"/>
          <w:sz w:val="30"/>
          <w:szCs w:val="30"/>
        </w:rPr>
        <w:t>个方面的展望思路。</w:t>
      </w:r>
    </w:p>
    <w:p w:rsidR="000854F0" w:rsidRPr="00E95A71" w:rsidRDefault="000854F0" w:rsidP="0086182B">
      <w:pPr>
        <w:spacing w:line="560" w:lineRule="exact"/>
        <w:ind w:firstLine="629"/>
        <w:rPr>
          <w:rFonts w:ascii="仿宋" w:eastAsia="仿宋" w:hAnsi="仿宋"/>
          <w:b/>
          <w:bCs/>
          <w:kern w:val="0"/>
          <w:sz w:val="30"/>
          <w:szCs w:val="30"/>
        </w:rPr>
      </w:pPr>
    </w:p>
    <w:p w:rsidR="00667724" w:rsidRPr="00E95A71" w:rsidRDefault="00DB36AA" w:rsidP="00667724">
      <w:pPr>
        <w:spacing w:line="560" w:lineRule="exact"/>
        <w:ind w:firstLine="629"/>
        <w:rPr>
          <w:rFonts w:ascii="楷体" w:eastAsia="楷体" w:hAnsi="楷体" w:cs="楷体"/>
          <w:color w:val="000000" w:themeColor="text1"/>
          <w:sz w:val="30"/>
          <w:szCs w:val="30"/>
        </w:rPr>
      </w:pPr>
      <w:r w:rsidRPr="00E95A71">
        <w:rPr>
          <w:rFonts w:ascii="仿宋" w:eastAsia="仿宋" w:hAnsi="仿宋" w:hint="eastAsia"/>
          <w:b/>
          <w:bCs/>
          <w:kern w:val="0"/>
          <w:sz w:val="30"/>
          <w:szCs w:val="30"/>
        </w:rPr>
        <w:t>关键词：</w:t>
      </w:r>
      <w:r w:rsidRPr="00E95A71">
        <w:rPr>
          <w:rFonts w:ascii="楷体" w:eastAsia="楷体" w:hAnsi="楷体" w:hint="eastAsia"/>
          <w:kern w:val="0"/>
          <w:sz w:val="30"/>
          <w:szCs w:val="30"/>
        </w:rPr>
        <w:t>电子送达繁简分流</w:t>
      </w:r>
      <w:r w:rsidRPr="00E95A71">
        <w:rPr>
          <w:rFonts w:ascii="楷体" w:eastAsia="楷体" w:hAnsi="楷体"/>
          <w:color w:val="000000" w:themeColor="text1"/>
          <w:kern w:val="0"/>
          <w:sz w:val="30"/>
          <w:szCs w:val="30"/>
        </w:rPr>
        <w:t>综合集约送达</w:t>
      </w:r>
      <w:r w:rsidRPr="00E95A71">
        <w:rPr>
          <w:rFonts w:ascii="楷体" w:eastAsia="楷体" w:hAnsi="楷体" w:hint="eastAsia"/>
          <w:color w:val="000000" w:themeColor="text1"/>
          <w:kern w:val="0"/>
          <w:sz w:val="30"/>
          <w:szCs w:val="30"/>
        </w:rPr>
        <w:t xml:space="preserve">  地址库 电子公告  </w:t>
      </w:r>
      <w:r w:rsidR="00826359" w:rsidRPr="00E95A71">
        <w:rPr>
          <w:rFonts w:ascii="楷体" w:eastAsia="楷体" w:hAnsi="楷体" w:cs="楷体" w:hint="eastAsia"/>
          <w:color w:val="000000" w:themeColor="text1"/>
          <w:sz w:val="30"/>
          <w:szCs w:val="30"/>
        </w:rPr>
        <w:t>区块链</w:t>
      </w:r>
    </w:p>
    <w:p w:rsidR="00667724" w:rsidRPr="00E95A71" w:rsidRDefault="00667724" w:rsidP="00667724">
      <w:pPr>
        <w:spacing w:line="560" w:lineRule="exact"/>
        <w:ind w:firstLine="629"/>
        <w:rPr>
          <w:rFonts w:ascii="楷体" w:eastAsia="楷体" w:hAnsi="楷体" w:cs="楷体"/>
          <w:color w:val="000000" w:themeColor="text1"/>
          <w:sz w:val="30"/>
          <w:szCs w:val="30"/>
        </w:rPr>
      </w:pPr>
    </w:p>
    <w:p w:rsidR="00667724" w:rsidRPr="00E95A71" w:rsidRDefault="00667724" w:rsidP="00667724">
      <w:pPr>
        <w:spacing w:line="560" w:lineRule="exact"/>
        <w:ind w:firstLine="629"/>
        <w:rPr>
          <w:rFonts w:ascii="楷体" w:eastAsia="楷体" w:hAnsi="楷体" w:cs="楷体"/>
          <w:color w:val="000000" w:themeColor="text1"/>
          <w:sz w:val="30"/>
          <w:szCs w:val="30"/>
        </w:rPr>
      </w:pPr>
    </w:p>
    <w:p w:rsidR="00826359" w:rsidRPr="00E95A71" w:rsidRDefault="00826359" w:rsidP="00667724">
      <w:pPr>
        <w:spacing w:line="560" w:lineRule="exact"/>
        <w:ind w:firstLine="629"/>
        <w:rPr>
          <w:rStyle w:val="a9"/>
          <w:rFonts w:ascii="仿宋" w:eastAsia="仿宋" w:hAnsi="仿宋" w:cs="仿宋"/>
          <w:b w:val="0"/>
          <w:bCs/>
          <w:color w:val="000000"/>
          <w:sz w:val="30"/>
          <w:szCs w:val="30"/>
          <w:shd w:val="clear" w:color="auto" w:fill="FFFFFF"/>
        </w:rPr>
      </w:pPr>
      <w:r w:rsidRPr="00E95A71">
        <w:rPr>
          <w:rStyle w:val="a9"/>
          <w:rFonts w:ascii="仿宋" w:eastAsia="仿宋" w:hAnsi="仿宋" w:cs="仿宋" w:hint="eastAsia"/>
          <w:b w:val="0"/>
          <w:bCs/>
          <w:sz w:val="30"/>
          <w:szCs w:val="30"/>
          <w:shd w:val="clear" w:color="auto" w:fill="FFFFFF"/>
        </w:rPr>
        <w:t>信息技术的不断革新，在改变人民日常生活和社会经济交往方式的同时，也为司法审判工作与时俱进、改革演进传统工作模式、打造纠纷化解快车道提供了契机。电子送达工作，由于其高效、便捷、低成本的特点，代表了未来法院民事送达工作信息化的发展方向，不仅在</w:t>
      </w:r>
      <w:r w:rsidRPr="00E95A71">
        <w:rPr>
          <w:rStyle w:val="a9"/>
          <w:rFonts w:ascii="仿宋" w:eastAsia="仿宋" w:hAnsi="仿宋" w:cs="仿宋"/>
          <w:b w:val="0"/>
          <w:bCs/>
          <w:sz w:val="30"/>
          <w:szCs w:val="30"/>
          <w:shd w:val="clear" w:color="auto" w:fill="FFFFFF"/>
        </w:rPr>
        <w:t>2012年的民事诉讼法中就已经成为了法定的送达方式，近年来也通过全国各地法院的实践积累了不少经验。</w:t>
      </w:r>
      <w:r w:rsidRPr="00E95A71">
        <w:rPr>
          <w:rStyle w:val="a9"/>
          <w:rFonts w:ascii="仿宋" w:eastAsia="仿宋" w:hAnsi="仿宋" w:cs="仿宋" w:hint="eastAsia"/>
          <w:b w:val="0"/>
          <w:bCs/>
          <w:color w:val="000000"/>
          <w:sz w:val="30"/>
          <w:szCs w:val="30"/>
          <w:shd w:val="clear" w:color="auto" w:fill="FFFFFF"/>
        </w:rPr>
        <w:t>最高人民法院于</w:t>
      </w:r>
      <w:r w:rsidRPr="00E95A71">
        <w:rPr>
          <w:rStyle w:val="a9"/>
          <w:rFonts w:ascii="仿宋" w:eastAsia="仿宋" w:hAnsi="仿宋" w:cs="仿宋"/>
          <w:b w:val="0"/>
          <w:bCs/>
          <w:sz w:val="30"/>
          <w:szCs w:val="30"/>
          <w:shd w:val="clear" w:color="auto" w:fill="FFFFFF"/>
        </w:rPr>
        <w:t>2020年1月</w:t>
      </w:r>
      <w:r w:rsidR="00274910" w:rsidRPr="00E95A71">
        <w:rPr>
          <w:rStyle w:val="a9"/>
          <w:rFonts w:ascii="仿宋" w:eastAsia="仿宋" w:hAnsi="仿宋" w:cs="仿宋" w:hint="eastAsia"/>
          <w:b w:val="0"/>
          <w:bCs/>
          <w:sz w:val="30"/>
          <w:szCs w:val="30"/>
          <w:shd w:val="clear" w:color="auto" w:fill="FFFFFF"/>
        </w:rPr>
        <w:t>15</w:t>
      </w:r>
      <w:r w:rsidRPr="00E95A71">
        <w:rPr>
          <w:rStyle w:val="a9"/>
          <w:rFonts w:ascii="仿宋" w:eastAsia="仿宋" w:hAnsi="仿宋" w:cs="仿宋"/>
          <w:b w:val="0"/>
          <w:bCs/>
          <w:sz w:val="30"/>
          <w:szCs w:val="30"/>
          <w:shd w:val="clear" w:color="auto" w:fill="FFFFFF"/>
        </w:rPr>
        <w:t>日</w:t>
      </w:r>
      <w:r w:rsidRPr="00E95A71">
        <w:rPr>
          <w:rStyle w:val="a9"/>
          <w:rFonts w:ascii="仿宋" w:eastAsia="仿宋" w:hAnsi="仿宋" w:cs="仿宋" w:hint="eastAsia"/>
          <w:b w:val="0"/>
          <w:bCs/>
          <w:color w:val="000000"/>
          <w:sz w:val="30"/>
          <w:szCs w:val="30"/>
          <w:shd w:val="clear" w:color="auto" w:fill="FFFFFF"/>
        </w:rPr>
        <w:t>公布的《民事诉讼程序繁简分流改革试点实施办法》专门细化了电子送达的有关程序要求，为电子送达工作发展提供了指导意见和根本遵循。但是，电子送达工作依托何种平台开展，如何提升适用率和使用效果，仍是实践中亟待研究和解决的重要课题。</w:t>
      </w:r>
    </w:p>
    <w:p w:rsidR="00826359" w:rsidRPr="00E95A71" w:rsidRDefault="00826359" w:rsidP="00667724">
      <w:pPr>
        <w:spacing w:line="560" w:lineRule="exact"/>
        <w:ind w:firstLineChars="300" w:firstLine="900"/>
        <w:rPr>
          <w:rFonts w:ascii="黑体" w:eastAsia="黑体" w:hAnsi="黑体" w:cs="黑体"/>
          <w:color w:val="000000"/>
          <w:sz w:val="30"/>
          <w:szCs w:val="30"/>
        </w:rPr>
      </w:pPr>
      <w:r w:rsidRPr="00E95A71">
        <w:rPr>
          <w:rFonts w:ascii="黑体" w:eastAsia="黑体" w:hAnsi="黑体" w:cs="黑体" w:hint="eastAsia"/>
          <w:color w:val="000000"/>
          <w:sz w:val="30"/>
          <w:szCs w:val="30"/>
        </w:rPr>
        <w:t>一、实施电子送达的现实基础</w:t>
      </w:r>
    </w:p>
    <w:p w:rsidR="00826359" w:rsidRPr="00E95A71" w:rsidRDefault="00375D07" w:rsidP="0086182B">
      <w:pPr>
        <w:spacing w:line="560" w:lineRule="exact"/>
        <w:ind w:firstLine="630"/>
        <w:rPr>
          <w:rFonts w:ascii="仿宋" w:eastAsia="仿宋" w:hAnsi="仿宋"/>
          <w:color w:val="000000"/>
          <w:sz w:val="30"/>
          <w:szCs w:val="30"/>
        </w:rPr>
      </w:pPr>
      <w:r w:rsidRPr="00E95A71">
        <w:rPr>
          <w:rFonts w:ascii="仿宋" w:eastAsia="仿宋" w:hAnsi="仿宋" w:hint="eastAsia"/>
          <w:color w:val="000000"/>
          <w:sz w:val="30"/>
          <w:szCs w:val="30"/>
        </w:rPr>
        <w:t>近年来，法院受理的案件数量</w:t>
      </w:r>
      <w:r w:rsidR="00826359" w:rsidRPr="00E95A71">
        <w:rPr>
          <w:rFonts w:ascii="仿宋" w:eastAsia="仿宋" w:hAnsi="仿宋" w:hint="eastAsia"/>
          <w:color w:val="000000"/>
          <w:sz w:val="30"/>
          <w:szCs w:val="30"/>
        </w:rPr>
        <w:t>呈“井喷式”增长，司法资源严重不足，包括送达在内的审判各环节和全过程都面临着革新和提速的需要。</w:t>
      </w:r>
    </w:p>
    <w:p w:rsidR="00826359" w:rsidRPr="00E95A71" w:rsidRDefault="00826359" w:rsidP="0086182B">
      <w:pPr>
        <w:spacing w:line="560" w:lineRule="exact"/>
        <w:ind w:firstLine="630"/>
        <w:rPr>
          <w:rFonts w:ascii="楷体" w:eastAsia="楷体" w:hAnsi="楷体" w:cs="楷体"/>
          <w:b/>
          <w:bCs/>
          <w:color w:val="000000"/>
          <w:sz w:val="30"/>
          <w:szCs w:val="30"/>
        </w:rPr>
      </w:pPr>
      <w:r w:rsidRPr="00E95A71">
        <w:rPr>
          <w:rFonts w:ascii="楷体" w:eastAsia="楷体" w:hAnsi="楷体" w:cs="楷体" w:hint="eastAsia"/>
          <w:b/>
          <w:bCs/>
          <w:color w:val="000000"/>
          <w:sz w:val="30"/>
          <w:szCs w:val="30"/>
        </w:rPr>
        <w:t>（一）缓解司法资源供需矛盾的现实需要</w:t>
      </w:r>
    </w:p>
    <w:p w:rsidR="00826359" w:rsidRPr="00E95A71" w:rsidRDefault="00826359" w:rsidP="0086182B">
      <w:pPr>
        <w:spacing w:line="560" w:lineRule="exact"/>
        <w:ind w:firstLineChars="200" w:firstLine="600"/>
        <w:rPr>
          <w:rFonts w:ascii="仿宋" w:eastAsia="仿宋" w:hAnsi="仿宋"/>
          <w:bCs/>
          <w:color w:val="000000"/>
          <w:sz w:val="30"/>
          <w:szCs w:val="30"/>
        </w:rPr>
      </w:pPr>
      <w:r w:rsidRPr="00E95A71">
        <w:rPr>
          <w:rFonts w:ascii="仿宋" w:eastAsia="仿宋" w:hAnsi="仿宋" w:hint="eastAsia"/>
          <w:bCs/>
          <w:color w:val="000000"/>
          <w:sz w:val="30"/>
          <w:szCs w:val="30"/>
        </w:rPr>
        <w:t>随着立案登记制改革的落实，全国法院特别是基层法院每年</w:t>
      </w:r>
      <w:r w:rsidRPr="00E95A71">
        <w:rPr>
          <w:rFonts w:ascii="仿宋" w:eastAsia="仿宋" w:hAnsi="仿宋" w:hint="eastAsia"/>
          <w:bCs/>
          <w:color w:val="000000"/>
          <w:sz w:val="30"/>
          <w:szCs w:val="30"/>
        </w:rPr>
        <w:lastRenderedPageBreak/>
        <w:t>受理的案件数量持续大幅度增长。</w:t>
      </w:r>
      <w:r w:rsidRPr="00E95A71">
        <w:rPr>
          <w:rStyle w:val="ae"/>
          <w:rFonts w:ascii="仿宋" w:eastAsia="仿宋" w:hAnsi="仿宋"/>
          <w:bCs/>
          <w:color w:val="000000"/>
          <w:sz w:val="30"/>
          <w:szCs w:val="30"/>
        </w:rPr>
        <w:footnoteReference w:id="3"/>
      </w:r>
      <w:r w:rsidRPr="00E95A71">
        <w:rPr>
          <w:rFonts w:ascii="仿宋" w:eastAsia="仿宋" w:hAnsi="仿宋" w:hint="eastAsia"/>
          <w:bCs/>
          <w:color w:val="000000"/>
          <w:sz w:val="30"/>
          <w:szCs w:val="30"/>
        </w:rPr>
        <w:t>以</w:t>
      </w:r>
      <w:r w:rsidR="004D65E5" w:rsidRPr="00E95A71">
        <w:rPr>
          <w:rFonts w:ascii="仿宋" w:eastAsia="仿宋" w:hAnsi="仿宋" w:hint="eastAsia"/>
          <w:bCs/>
          <w:color w:val="000000"/>
          <w:sz w:val="30"/>
          <w:szCs w:val="30"/>
        </w:rPr>
        <w:t>江苏省苏州市相城区人民法院（以下简称相城法院）</w:t>
      </w:r>
      <w:r w:rsidRPr="00E95A71">
        <w:rPr>
          <w:rFonts w:ascii="仿宋" w:eastAsia="仿宋" w:hAnsi="仿宋" w:hint="eastAsia"/>
          <w:bCs/>
          <w:color w:val="000000"/>
          <w:sz w:val="30"/>
          <w:szCs w:val="30"/>
        </w:rPr>
        <w:t>为例，</w:t>
      </w:r>
      <w:r w:rsidRPr="00E95A71">
        <w:rPr>
          <w:rFonts w:ascii="仿宋" w:eastAsia="仿宋" w:hAnsi="仿宋"/>
          <w:bCs/>
          <w:color w:val="000000"/>
          <w:sz w:val="30"/>
          <w:szCs w:val="30"/>
        </w:rPr>
        <w:t>2015</w:t>
      </w:r>
      <w:r w:rsidRPr="00E95A71">
        <w:rPr>
          <w:rFonts w:ascii="仿宋" w:eastAsia="仿宋" w:hAnsi="仿宋" w:hint="eastAsia"/>
          <w:bCs/>
          <w:color w:val="000000"/>
          <w:sz w:val="30"/>
          <w:szCs w:val="30"/>
        </w:rPr>
        <w:t>年</w:t>
      </w:r>
      <w:r w:rsidR="00375D07" w:rsidRPr="00E95A71">
        <w:rPr>
          <w:rFonts w:ascii="仿宋" w:eastAsia="仿宋" w:hAnsi="仿宋" w:hint="eastAsia"/>
          <w:bCs/>
          <w:color w:val="000000"/>
          <w:sz w:val="30"/>
          <w:szCs w:val="30"/>
        </w:rPr>
        <w:t>至</w:t>
      </w:r>
      <w:r w:rsidRPr="00E95A71">
        <w:rPr>
          <w:rFonts w:ascii="仿宋" w:eastAsia="仿宋" w:hAnsi="仿宋"/>
          <w:bCs/>
          <w:color w:val="000000"/>
          <w:sz w:val="30"/>
          <w:szCs w:val="30"/>
        </w:rPr>
        <w:t>2019年</w:t>
      </w:r>
      <w:r w:rsidRPr="00E95A71">
        <w:rPr>
          <w:rFonts w:ascii="仿宋" w:eastAsia="仿宋" w:hAnsi="仿宋" w:hint="eastAsia"/>
          <w:bCs/>
          <w:color w:val="000000"/>
          <w:sz w:val="30"/>
          <w:szCs w:val="30"/>
        </w:rPr>
        <w:t>新收案件数分别为</w:t>
      </w:r>
      <w:r w:rsidRPr="00E95A71">
        <w:rPr>
          <w:rFonts w:ascii="仿宋" w:eastAsia="仿宋" w:hAnsi="仿宋"/>
          <w:bCs/>
          <w:color w:val="000000"/>
          <w:sz w:val="30"/>
          <w:szCs w:val="30"/>
        </w:rPr>
        <w:t>10657件</w:t>
      </w:r>
      <w:r w:rsidRPr="00E95A71">
        <w:rPr>
          <w:rFonts w:ascii="仿宋" w:eastAsia="仿宋" w:hAnsi="仿宋" w:hint="eastAsia"/>
          <w:bCs/>
          <w:color w:val="000000"/>
          <w:sz w:val="30"/>
          <w:szCs w:val="30"/>
        </w:rPr>
        <w:t>、</w:t>
      </w:r>
      <w:r w:rsidRPr="00E95A71">
        <w:rPr>
          <w:rFonts w:ascii="仿宋" w:eastAsia="仿宋" w:hAnsi="仿宋"/>
          <w:bCs/>
          <w:color w:val="000000"/>
          <w:sz w:val="30"/>
          <w:szCs w:val="30"/>
        </w:rPr>
        <w:t>10896件</w:t>
      </w:r>
      <w:r w:rsidRPr="00E95A71">
        <w:rPr>
          <w:rFonts w:ascii="仿宋" w:eastAsia="仿宋" w:hAnsi="仿宋" w:hint="eastAsia"/>
          <w:bCs/>
          <w:color w:val="000000"/>
          <w:sz w:val="30"/>
          <w:szCs w:val="30"/>
        </w:rPr>
        <w:t>、</w:t>
      </w:r>
      <w:r w:rsidRPr="00E95A71">
        <w:rPr>
          <w:rFonts w:ascii="仿宋" w:eastAsia="仿宋" w:hAnsi="仿宋"/>
          <w:bCs/>
          <w:color w:val="000000"/>
          <w:sz w:val="30"/>
          <w:szCs w:val="30"/>
        </w:rPr>
        <w:t>12219件</w:t>
      </w:r>
      <w:r w:rsidRPr="00E95A71">
        <w:rPr>
          <w:rFonts w:ascii="仿宋" w:eastAsia="仿宋" w:hAnsi="仿宋" w:hint="eastAsia"/>
          <w:bCs/>
          <w:color w:val="000000"/>
          <w:sz w:val="30"/>
          <w:szCs w:val="30"/>
        </w:rPr>
        <w:t>、</w:t>
      </w:r>
      <w:r w:rsidRPr="00E95A71">
        <w:rPr>
          <w:rFonts w:ascii="仿宋" w:eastAsia="仿宋" w:hAnsi="仿宋"/>
          <w:bCs/>
          <w:color w:val="000000"/>
          <w:sz w:val="30"/>
          <w:szCs w:val="30"/>
        </w:rPr>
        <w:t>15100件、17303件</w:t>
      </w:r>
      <w:r w:rsidRPr="00E95A71">
        <w:rPr>
          <w:rFonts w:ascii="仿宋" w:eastAsia="仿宋" w:hAnsi="仿宋" w:hint="eastAsia"/>
          <w:bCs/>
          <w:color w:val="000000"/>
          <w:sz w:val="30"/>
          <w:szCs w:val="30"/>
        </w:rPr>
        <w:t>。</w:t>
      </w:r>
      <w:r w:rsidRPr="00E95A71">
        <w:rPr>
          <w:rFonts w:ascii="仿宋" w:eastAsia="仿宋" w:hAnsi="仿宋"/>
          <w:bCs/>
          <w:color w:val="000000"/>
          <w:sz w:val="30"/>
          <w:szCs w:val="30"/>
        </w:rPr>
        <w:t>2019年数据与2015</w:t>
      </w:r>
      <w:r w:rsidRPr="00E95A71">
        <w:rPr>
          <w:rFonts w:ascii="仿宋" w:eastAsia="仿宋" w:hAnsi="仿宋" w:hint="eastAsia"/>
          <w:bCs/>
          <w:color w:val="000000"/>
          <w:sz w:val="30"/>
          <w:szCs w:val="30"/>
        </w:rPr>
        <w:t>年相比较，</w:t>
      </w:r>
      <w:r w:rsidR="00375D07" w:rsidRPr="00E95A71">
        <w:rPr>
          <w:rFonts w:ascii="仿宋" w:eastAsia="仿宋" w:hAnsi="仿宋" w:hint="eastAsia"/>
          <w:bCs/>
          <w:color w:val="000000"/>
          <w:sz w:val="30"/>
          <w:szCs w:val="30"/>
        </w:rPr>
        <w:t>该院</w:t>
      </w:r>
      <w:r w:rsidRPr="00E95A71">
        <w:rPr>
          <w:rFonts w:ascii="仿宋" w:eastAsia="仿宋" w:hAnsi="仿宋" w:hint="eastAsia"/>
          <w:bCs/>
          <w:color w:val="000000"/>
          <w:sz w:val="30"/>
          <w:szCs w:val="30"/>
        </w:rPr>
        <w:t>收案数增长</w:t>
      </w:r>
      <w:r w:rsidRPr="00E95A71">
        <w:rPr>
          <w:rFonts w:ascii="仿宋" w:eastAsia="仿宋" w:hAnsi="仿宋"/>
          <w:bCs/>
          <w:color w:val="000000"/>
          <w:sz w:val="30"/>
          <w:szCs w:val="30"/>
        </w:rPr>
        <w:t>62.36%</w:t>
      </w:r>
      <w:r w:rsidRPr="00E95A71">
        <w:rPr>
          <w:rFonts w:ascii="仿宋" w:eastAsia="仿宋" w:hAnsi="仿宋" w:hint="eastAsia"/>
          <w:bCs/>
          <w:color w:val="000000"/>
          <w:sz w:val="30"/>
          <w:szCs w:val="30"/>
        </w:rPr>
        <w:t>。</w:t>
      </w:r>
    </w:p>
    <w:p w:rsidR="00826359" w:rsidRPr="00E95A71" w:rsidRDefault="00826359" w:rsidP="0086182B">
      <w:pPr>
        <w:spacing w:line="560" w:lineRule="exact"/>
        <w:ind w:firstLineChars="200" w:firstLine="600"/>
        <w:rPr>
          <w:rFonts w:ascii="仿宋" w:eastAsia="仿宋" w:hAnsi="仿宋"/>
          <w:color w:val="000000"/>
          <w:sz w:val="30"/>
          <w:szCs w:val="30"/>
        </w:rPr>
      </w:pPr>
      <w:r w:rsidRPr="00E95A71">
        <w:rPr>
          <w:rFonts w:ascii="仿宋" w:eastAsia="仿宋" w:hAnsi="仿宋" w:hint="eastAsia"/>
          <w:color w:val="000000"/>
          <w:sz w:val="30"/>
          <w:szCs w:val="30"/>
        </w:rPr>
        <w:t>在案件数量增加的同时，法官员额制改革带来的法官数量整体</w:t>
      </w:r>
      <w:r w:rsidR="00375D07" w:rsidRPr="00E95A71">
        <w:rPr>
          <w:rFonts w:ascii="仿宋" w:eastAsia="仿宋" w:hAnsi="仿宋" w:hint="eastAsia"/>
          <w:color w:val="000000"/>
          <w:sz w:val="30"/>
          <w:szCs w:val="30"/>
        </w:rPr>
        <w:t>减</w:t>
      </w:r>
      <w:r w:rsidRPr="00E95A71">
        <w:rPr>
          <w:rFonts w:ascii="仿宋" w:eastAsia="仿宋" w:hAnsi="仿宋" w:hint="eastAsia"/>
          <w:color w:val="000000"/>
          <w:sz w:val="30"/>
          <w:szCs w:val="30"/>
        </w:rPr>
        <w:t>少，“一增一减”格局</w:t>
      </w:r>
      <w:r w:rsidR="00375D07" w:rsidRPr="00E95A71">
        <w:rPr>
          <w:rFonts w:ascii="仿宋" w:eastAsia="仿宋" w:hAnsi="仿宋" w:hint="eastAsia"/>
          <w:color w:val="000000"/>
          <w:sz w:val="30"/>
          <w:szCs w:val="30"/>
        </w:rPr>
        <w:t>进一步锐化了</w:t>
      </w:r>
      <w:r w:rsidRPr="00E95A71">
        <w:rPr>
          <w:rFonts w:ascii="仿宋" w:eastAsia="仿宋" w:hAnsi="仿宋" w:hint="eastAsia"/>
          <w:color w:val="000000"/>
          <w:sz w:val="30"/>
          <w:szCs w:val="30"/>
        </w:rPr>
        <w:t>案多人少矛盾。此外，因编制数量受限，法官助理培养年限较长等原因，审判员、法官助理、书记员无法达到</w:t>
      </w:r>
      <w:r w:rsidRPr="00E95A71">
        <w:rPr>
          <w:rFonts w:ascii="仿宋" w:eastAsia="仿宋" w:hAnsi="仿宋"/>
          <w:color w:val="000000"/>
          <w:sz w:val="30"/>
          <w:szCs w:val="30"/>
        </w:rPr>
        <w:t>1：1：1的状态，甚至一审一书的模式都无法满足，严重制约了审判效率的提高。工作量的逐渐增加和工作要求的不断提升，使得员额法官不堪重负，这一方面</w:t>
      </w:r>
      <w:r w:rsidR="00274910" w:rsidRPr="00E95A71">
        <w:rPr>
          <w:rFonts w:ascii="仿宋" w:eastAsia="仿宋" w:hAnsi="仿宋" w:hint="eastAsia"/>
          <w:color w:val="000000"/>
          <w:sz w:val="30"/>
          <w:szCs w:val="30"/>
        </w:rPr>
        <w:t>促使</w:t>
      </w:r>
      <w:r w:rsidRPr="00E95A71">
        <w:rPr>
          <w:rFonts w:ascii="仿宋" w:eastAsia="仿宋" w:hAnsi="仿宋"/>
          <w:color w:val="000000"/>
          <w:sz w:val="30"/>
          <w:szCs w:val="30"/>
        </w:rPr>
        <w:t>法院运用科技手段解放司</w:t>
      </w:r>
      <w:r w:rsidRPr="00E95A71">
        <w:rPr>
          <w:rFonts w:ascii="仿宋" w:eastAsia="仿宋" w:hAnsi="仿宋" w:hint="eastAsia"/>
          <w:color w:val="000000"/>
          <w:sz w:val="30"/>
          <w:szCs w:val="30"/>
        </w:rPr>
        <w:t>法生产力，另一方面也</w:t>
      </w:r>
      <w:r w:rsidR="00274910" w:rsidRPr="00E95A71">
        <w:rPr>
          <w:rFonts w:ascii="仿宋" w:eastAsia="仿宋" w:hAnsi="仿宋"/>
          <w:color w:val="000000"/>
          <w:sz w:val="30"/>
          <w:szCs w:val="30"/>
        </w:rPr>
        <w:t>倒逼</w:t>
      </w:r>
      <w:r w:rsidRPr="00E95A71">
        <w:rPr>
          <w:rFonts w:ascii="仿宋" w:eastAsia="仿宋" w:hAnsi="仿宋" w:hint="eastAsia"/>
          <w:color w:val="000000"/>
          <w:sz w:val="30"/>
          <w:szCs w:val="30"/>
        </w:rPr>
        <w:t>法院完善审判工作机制，将事务性工作从法官和书记员手中剥离。</w:t>
      </w:r>
    </w:p>
    <w:p w:rsidR="00826359" w:rsidRPr="00E95A71" w:rsidRDefault="00826359" w:rsidP="0086182B">
      <w:pPr>
        <w:spacing w:line="560" w:lineRule="exact"/>
        <w:ind w:firstLine="630"/>
        <w:rPr>
          <w:rFonts w:ascii="楷体" w:eastAsia="楷体" w:hAnsi="楷体" w:cs="楷体"/>
          <w:b/>
          <w:bCs/>
          <w:color w:val="000000"/>
          <w:sz w:val="30"/>
          <w:szCs w:val="30"/>
        </w:rPr>
      </w:pPr>
      <w:r w:rsidRPr="00E95A71">
        <w:rPr>
          <w:rFonts w:ascii="楷体" w:eastAsia="楷体" w:hAnsi="楷体" w:cs="楷体" w:hint="eastAsia"/>
          <w:b/>
          <w:bCs/>
          <w:color w:val="000000"/>
          <w:sz w:val="30"/>
          <w:szCs w:val="30"/>
        </w:rPr>
        <w:t>（二）突破送达工作困境的需要</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仿宋" w:eastAsia="仿宋" w:hAnsi="仿宋" w:hint="eastAsia"/>
          <w:color w:val="000000"/>
          <w:sz w:val="30"/>
          <w:szCs w:val="30"/>
        </w:rPr>
        <w:t>民事送达困境大致可以归纳为：“送达难”、“送达累”、“送达乱”三个方面</w:t>
      </w:r>
      <w:r w:rsidRPr="00E95A71">
        <w:rPr>
          <w:rStyle w:val="ae"/>
          <w:rFonts w:ascii="仿宋" w:eastAsia="仿宋" w:hAnsi="仿宋"/>
          <w:color w:val="000000"/>
          <w:sz w:val="30"/>
          <w:szCs w:val="30"/>
        </w:rPr>
        <w:footnoteReference w:id="4"/>
      </w:r>
      <w:r w:rsidRPr="00E95A71">
        <w:rPr>
          <w:rFonts w:ascii="仿宋" w:eastAsia="仿宋" w:hAnsi="仿宋" w:hint="eastAsia"/>
          <w:color w:val="000000"/>
          <w:sz w:val="30"/>
          <w:szCs w:val="30"/>
        </w:rPr>
        <w:t>。</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楷体" w:eastAsia="楷体" w:hAnsi="楷体" w:hint="eastAsia"/>
          <w:color w:val="000000"/>
          <w:sz w:val="30"/>
          <w:szCs w:val="30"/>
        </w:rPr>
        <w:t>“送达难”。</w:t>
      </w:r>
      <w:r w:rsidRPr="00E95A71">
        <w:rPr>
          <w:rFonts w:ascii="仿宋" w:eastAsia="仿宋" w:hAnsi="仿宋" w:hint="eastAsia"/>
          <w:color w:val="000000"/>
          <w:sz w:val="30"/>
          <w:szCs w:val="30"/>
        </w:rPr>
        <w:t>一是人口流动性大。送达地址的来源主要有两种，即以被告的户籍地为送达地址和原告提供的地址。但是户籍地址并非时时更新，人户分离、户口挂空，因工作、婚姻、搬迁等原因离开原户籍地。企业登记注册地与实际经营地不一致的现象亦越来越突出。二是当事人故意逃避、躲避送达。部分受送达人缺乏法律意识，以为不接收法院文书法院的审理工作就无法继续，或因经济困境而对诉讼程序采取放任态度。实践中，如当事</w:t>
      </w:r>
      <w:r w:rsidRPr="00E95A71">
        <w:rPr>
          <w:rFonts w:ascii="仿宋" w:eastAsia="仿宋" w:hAnsi="仿宋" w:hint="eastAsia"/>
          <w:color w:val="000000"/>
          <w:sz w:val="30"/>
          <w:szCs w:val="30"/>
        </w:rPr>
        <w:lastRenderedPageBreak/>
        <w:t>人户籍地或注册地无法送达，则即便取得联系也将大概率不配合领取诉讼文书，甚至拉黑法院办公电话。</w:t>
      </w:r>
    </w:p>
    <w:p w:rsidR="00826359" w:rsidRPr="00E95A71" w:rsidRDefault="00826359" w:rsidP="0086182B">
      <w:pPr>
        <w:spacing w:line="560" w:lineRule="exact"/>
        <w:ind w:firstLine="630"/>
        <w:rPr>
          <w:rFonts w:ascii="仿宋_GB2312" w:eastAsia="仿宋_GB2312" w:hAnsi="仿宋"/>
          <w:color w:val="000000"/>
          <w:sz w:val="30"/>
          <w:szCs w:val="30"/>
        </w:rPr>
      </w:pPr>
      <w:r w:rsidRPr="00E95A71">
        <w:rPr>
          <w:rFonts w:ascii="楷体" w:eastAsia="楷体" w:hAnsi="楷体" w:hint="eastAsia"/>
          <w:color w:val="000000"/>
          <w:sz w:val="30"/>
          <w:szCs w:val="30"/>
        </w:rPr>
        <w:t>“送达累”。</w:t>
      </w:r>
      <w:r w:rsidRPr="00E95A71">
        <w:rPr>
          <w:rFonts w:ascii="仿宋" w:eastAsia="仿宋" w:hAnsi="仿宋" w:hint="eastAsia"/>
          <w:color w:val="000000"/>
          <w:sz w:val="30"/>
          <w:szCs w:val="30"/>
        </w:rPr>
        <w:t>人力资源</w:t>
      </w:r>
      <w:r w:rsidR="00375D07" w:rsidRPr="00E95A71">
        <w:rPr>
          <w:rFonts w:ascii="仿宋" w:eastAsia="仿宋" w:hAnsi="仿宋" w:hint="eastAsia"/>
          <w:color w:val="000000"/>
          <w:sz w:val="30"/>
          <w:szCs w:val="30"/>
        </w:rPr>
        <w:t>紧张</w:t>
      </w:r>
      <w:r w:rsidRPr="00E95A71">
        <w:rPr>
          <w:rFonts w:ascii="仿宋" w:eastAsia="仿宋" w:hAnsi="仿宋" w:hint="eastAsia"/>
          <w:color w:val="000000"/>
          <w:sz w:val="30"/>
          <w:szCs w:val="30"/>
        </w:rPr>
        <w:t>是送达中非常关键的</w:t>
      </w:r>
      <w:r w:rsidR="00375D07" w:rsidRPr="00E95A71">
        <w:rPr>
          <w:rFonts w:ascii="仿宋" w:eastAsia="仿宋" w:hAnsi="仿宋" w:hint="eastAsia"/>
          <w:color w:val="000000"/>
          <w:sz w:val="30"/>
          <w:szCs w:val="30"/>
        </w:rPr>
        <w:t>约束</w:t>
      </w:r>
      <w:r w:rsidRPr="00E95A71">
        <w:rPr>
          <w:rFonts w:ascii="仿宋" w:eastAsia="仿宋" w:hAnsi="仿宋" w:hint="eastAsia"/>
          <w:color w:val="000000"/>
          <w:sz w:val="30"/>
          <w:szCs w:val="30"/>
        </w:rPr>
        <w:t>因素。一是送达工作量大。按照民事诉讼法的要求，直接送达存在困难的，可以进行委托送达或邮寄送达。曾有人统计送达工作约占基层法官助理及书记员</w:t>
      </w:r>
      <w:r w:rsidRPr="00E95A71">
        <w:rPr>
          <w:rFonts w:ascii="仿宋" w:eastAsia="仿宋" w:hAnsi="仿宋"/>
          <w:color w:val="000000"/>
          <w:sz w:val="30"/>
          <w:szCs w:val="30"/>
        </w:rPr>
        <w:t>80%的精力</w:t>
      </w:r>
      <w:r w:rsidRPr="00E95A71">
        <w:rPr>
          <w:rStyle w:val="ae"/>
          <w:rFonts w:ascii="仿宋" w:eastAsia="仿宋" w:hAnsi="仿宋"/>
          <w:color w:val="000000"/>
          <w:sz w:val="30"/>
          <w:szCs w:val="30"/>
        </w:rPr>
        <w:footnoteReference w:id="5"/>
      </w:r>
      <w:r w:rsidRPr="00E95A71">
        <w:rPr>
          <w:rFonts w:ascii="仿宋" w:eastAsia="仿宋" w:hAnsi="仿宋" w:hint="eastAsia"/>
          <w:color w:val="000000"/>
          <w:sz w:val="30"/>
          <w:szCs w:val="30"/>
        </w:rPr>
        <w:t>。二是送达时间不固定。对于直接送达来说，为了将诉讼文书有效送达给被送达人，外出送达的工作人员甚至需要等到晚上或者周末等非工作时间外出送达。三是手工作业耗费时间多。对于邮寄送达而言，传统的邮寄文书流程包括制作传票、应诉通知书等文书并打印，复印起诉状及证据副本，签章、分拣装订、填写邮寄面单、送交邮寄等流程，诉讼当事人较少案件的邮寄流程都至少需要</w:t>
      </w:r>
      <w:r w:rsidR="00375D07" w:rsidRPr="00E95A71">
        <w:rPr>
          <w:rFonts w:ascii="仿宋" w:eastAsia="仿宋" w:hAnsi="仿宋" w:hint="eastAsia"/>
          <w:color w:val="000000"/>
          <w:sz w:val="30"/>
          <w:szCs w:val="30"/>
        </w:rPr>
        <w:t>半个小时才能完成，遇到当事人一方人数众多的，所需耗费的时间则更为</w:t>
      </w:r>
      <w:r w:rsidRPr="00E95A71">
        <w:rPr>
          <w:rFonts w:ascii="仿宋" w:eastAsia="仿宋" w:hAnsi="仿宋" w:hint="eastAsia"/>
          <w:color w:val="000000"/>
          <w:sz w:val="30"/>
          <w:szCs w:val="30"/>
        </w:rPr>
        <w:t>漫长。</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楷体" w:eastAsia="楷体" w:hAnsi="楷体" w:hint="eastAsia"/>
          <w:color w:val="000000"/>
          <w:sz w:val="30"/>
          <w:szCs w:val="30"/>
        </w:rPr>
        <w:t>“送达乱”。</w:t>
      </w:r>
      <w:r w:rsidRPr="00E95A71">
        <w:rPr>
          <w:rStyle w:val="ad"/>
          <w:rFonts w:ascii="仿宋" w:eastAsia="仿宋" w:hAnsi="仿宋" w:cs="仿宋" w:hint="eastAsia"/>
          <w:sz w:val="30"/>
          <w:szCs w:val="30"/>
        </w:rPr>
        <w:t>首先是公告送达滥用。</w:t>
      </w:r>
      <w:r w:rsidRPr="00E95A71">
        <w:rPr>
          <w:rFonts w:ascii="仿宋" w:eastAsia="仿宋" w:hAnsi="仿宋" w:hint="eastAsia"/>
          <w:color w:val="000000"/>
          <w:sz w:val="30"/>
          <w:szCs w:val="30"/>
        </w:rPr>
        <w:t>根据民事诉讼法及司法解释的要求，穷尽送达其他送达手段仍无法完成送达的，才可以</w:t>
      </w:r>
      <w:r w:rsidR="00375D07" w:rsidRPr="00E95A71">
        <w:rPr>
          <w:rFonts w:ascii="仿宋" w:eastAsia="仿宋" w:hAnsi="仿宋" w:hint="eastAsia"/>
          <w:color w:val="000000"/>
          <w:sz w:val="30"/>
          <w:szCs w:val="30"/>
        </w:rPr>
        <w:t>使用公告送达。公告送达应该是一种兜底的送达方式，但是实践中往往</w:t>
      </w:r>
      <w:r w:rsidRPr="00E95A71">
        <w:rPr>
          <w:rFonts w:ascii="仿宋" w:eastAsia="仿宋" w:hAnsi="仿宋" w:hint="eastAsia"/>
          <w:color w:val="000000"/>
          <w:sz w:val="30"/>
          <w:szCs w:val="30"/>
        </w:rPr>
        <w:t>邮寄送达无法送达就直接适用公告送达。其次是邮寄送达不规范。邮寄送达实际是将法院承担的送达工作全权委托给邮局，邮局工作人员并</w:t>
      </w:r>
      <w:r w:rsidR="00375D07" w:rsidRPr="00E95A71">
        <w:rPr>
          <w:rFonts w:ascii="仿宋" w:eastAsia="仿宋" w:hAnsi="仿宋" w:hint="eastAsia"/>
          <w:color w:val="000000"/>
          <w:sz w:val="30"/>
          <w:szCs w:val="30"/>
        </w:rPr>
        <w:t>不</w:t>
      </w:r>
      <w:r w:rsidRPr="00E95A71">
        <w:rPr>
          <w:rFonts w:ascii="仿宋" w:eastAsia="仿宋" w:hAnsi="仿宋" w:hint="eastAsia"/>
          <w:color w:val="000000"/>
          <w:sz w:val="30"/>
          <w:szCs w:val="30"/>
        </w:rPr>
        <w:t>具有专业的法律素养，部分还存在敷衍推诿、不负责的工作态度，对于邮寄送达的文书，常出现电话一时不能接通或者当事人不在收件地址就直接予以退回的情形。再次是不能穷尽送达手段。按照民事诉讼法的规定，直接送达应为首选送达方式，直接送达不成的可采取邮寄送达、留置送达、公告</w:t>
      </w:r>
      <w:r w:rsidRPr="00E95A71">
        <w:rPr>
          <w:rFonts w:ascii="仿宋" w:eastAsia="仿宋" w:hAnsi="仿宋" w:hint="eastAsia"/>
          <w:color w:val="000000"/>
          <w:sz w:val="30"/>
          <w:szCs w:val="30"/>
        </w:rPr>
        <w:lastRenderedPageBreak/>
        <w:t>送达等方式，但法院因人力匮乏，实际无法采用逐案直接送达的方法，故而实践中多数法院采用邮寄送达和公告送达为主，对于邮寄不能的则直接选择公告送达。由此，造成了实践中部分案件当事人实际可以联系到，但不得不采用公告方式送达的情况。甚至当事人并非“下落不明”，但公告送达程序走完，当事人对诉讼程序仍一无所知的情形。当事人在法律文书生效后以送达程序违法为由申请再审或提出信访，且此前多地法院都出现过因此而撤销原判决的情形。公告送达的乱象对司法裁判的效果和公信力都产生了严重的影响。</w:t>
      </w:r>
    </w:p>
    <w:p w:rsidR="00826359" w:rsidRPr="00E95A71" w:rsidRDefault="00826359" w:rsidP="0086182B">
      <w:pPr>
        <w:spacing w:line="560" w:lineRule="exact"/>
        <w:ind w:firstLine="630"/>
        <w:rPr>
          <w:rFonts w:ascii="楷体" w:eastAsia="楷体" w:hAnsi="楷体" w:cs="楷体"/>
          <w:b/>
          <w:bCs/>
          <w:color w:val="000000"/>
          <w:sz w:val="30"/>
          <w:szCs w:val="30"/>
        </w:rPr>
      </w:pPr>
      <w:r w:rsidRPr="00E95A71">
        <w:rPr>
          <w:rFonts w:ascii="楷体" w:eastAsia="楷体" w:hAnsi="楷体" w:cs="楷体" w:hint="eastAsia"/>
          <w:b/>
          <w:bCs/>
          <w:color w:val="000000"/>
          <w:sz w:val="30"/>
          <w:szCs w:val="30"/>
        </w:rPr>
        <w:t>（三）顺应电子诉讼改革的需要</w:t>
      </w:r>
    </w:p>
    <w:p w:rsidR="00826359" w:rsidRPr="00E95A71" w:rsidRDefault="00826359" w:rsidP="0086182B">
      <w:pPr>
        <w:pStyle w:val="1"/>
        <w:widowControl/>
        <w:spacing w:line="560" w:lineRule="exact"/>
        <w:ind w:firstLineChars="200" w:firstLine="600"/>
        <w:jc w:val="both"/>
        <w:rPr>
          <w:rFonts w:ascii="仿宋" w:eastAsia="仿宋" w:hAnsi="仿宋" w:hint="default"/>
          <w:b w:val="0"/>
          <w:bCs/>
          <w:color w:val="000000"/>
          <w:sz w:val="30"/>
          <w:szCs w:val="30"/>
        </w:rPr>
      </w:pPr>
      <w:r w:rsidRPr="00E95A71">
        <w:rPr>
          <w:rFonts w:ascii="仿宋" w:eastAsia="仿宋" w:hAnsi="仿宋"/>
          <w:b w:val="0"/>
          <w:bCs/>
          <w:color w:val="000000"/>
          <w:sz w:val="30"/>
          <w:szCs w:val="30"/>
        </w:rPr>
        <w:t>人民群众对于司法正义和效率的需求越来越高，程序分流的重要性和迫切性逐渐凸显。正因如此，</w:t>
      </w:r>
      <w:r w:rsidRPr="00E95A71">
        <w:rPr>
          <w:rFonts w:ascii="仿宋" w:eastAsia="仿宋" w:hAnsi="仿宋" w:cs="仿宋"/>
          <w:b w:val="0"/>
          <w:bCs/>
          <w:color w:val="000000"/>
          <w:sz w:val="30"/>
          <w:szCs w:val="30"/>
        </w:rPr>
        <w:t>全国人大常委会于</w:t>
      </w:r>
      <w:r w:rsidRPr="00E95A71">
        <w:rPr>
          <w:rFonts w:ascii="仿宋" w:eastAsia="仿宋" w:hAnsi="仿宋" w:cs="仿宋" w:hint="default"/>
          <w:b w:val="0"/>
          <w:bCs/>
          <w:color w:val="000000"/>
          <w:sz w:val="30"/>
          <w:szCs w:val="30"/>
        </w:rPr>
        <w:t>2019年底公布《</w:t>
      </w:r>
      <w:r w:rsidRPr="00E95A71">
        <w:rPr>
          <w:rFonts w:ascii="仿宋" w:eastAsia="仿宋" w:hAnsi="仿宋" w:cs="仿宋"/>
          <w:b w:val="0"/>
          <w:bCs/>
          <w:sz w:val="30"/>
          <w:szCs w:val="30"/>
          <w:shd w:val="clear" w:color="auto" w:fill="FFFFFF"/>
        </w:rPr>
        <w:t>关于授权最高人民法院在部分地区开展民事诉讼程序繁简分流改革试点工作的决定</w:t>
      </w:r>
      <w:r w:rsidRPr="00E95A71">
        <w:rPr>
          <w:rFonts w:ascii="仿宋" w:eastAsia="仿宋" w:hAnsi="仿宋" w:cs="仿宋"/>
          <w:b w:val="0"/>
          <w:bCs/>
          <w:color w:val="000000"/>
          <w:sz w:val="30"/>
          <w:szCs w:val="30"/>
        </w:rPr>
        <w:t>》</w:t>
      </w:r>
      <w:r w:rsidRPr="00E95A71">
        <w:rPr>
          <w:rFonts w:ascii="仿宋" w:eastAsia="仿宋" w:hAnsi="仿宋"/>
          <w:b w:val="0"/>
          <w:bCs/>
          <w:color w:val="000000"/>
          <w:sz w:val="30"/>
          <w:szCs w:val="30"/>
        </w:rPr>
        <w:t>，决定在部分地区开展繁简分流改革试点工作，推行电子送达、提升</w:t>
      </w:r>
      <w:r w:rsidR="00375D07" w:rsidRPr="00E95A71">
        <w:rPr>
          <w:rFonts w:ascii="仿宋" w:eastAsia="仿宋" w:hAnsi="仿宋"/>
          <w:b w:val="0"/>
          <w:bCs/>
          <w:color w:val="000000"/>
          <w:sz w:val="30"/>
          <w:szCs w:val="30"/>
        </w:rPr>
        <w:t>简易程序适用率</w:t>
      </w:r>
      <w:r w:rsidRPr="00E95A71">
        <w:rPr>
          <w:rFonts w:ascii="仿宋" w:eastAsia="仿宋" w:hAnsi="仿宋"/>
          <w:b w:val="0"/>
          <w:bCs/>
          <w:color w:val="000000"/>
          <w:sz w:val="30"/>
          <w:szCs w:val="30"/>
        </w:rPr>
        <w:t>、创设普通程序独任审等，其目</w:t>
      </w:r>
      <w:r w:rsidR="00375D07" w:rsidRPr="00E95A71">
        <w:rPr>
          <w:rFonts w:ascii="仿宋" w:eastAsia="仿宋" w:hAnsi="仿宋"/>
          <w:b w:val="0"/>
          <w:bCs/>
          <w:color w:val="000000"/>
          <w:sz w:val="30"/>
          <w:szCs w:val="30"/>
        </w:rPr>
        <w:t>的在于将大量案件引导进入以简易程序为模型的快审模式。而法院的</w:t>
      </w:r>
      <w:r w:rsidRPr="00E95A71">
        <w:rPr>
          <w:rFonts w:ascii="仿宋" w:eastAsia="仿宋" w:hAnsi="仿宋"/>
          <w:b w:val="0"/>
          <w:bCs/>
          <w:color w:val="000000"/>
          <w:sz w:val="30"/>
          <w:szCs w:val="30"/>
        </w:rPr>
        <w:t>考核体系中将</w:t>
      </w:r>
      <w:r w:rsidR="00375D07" w:rsidRPr="00E95A71">
        <w:rPr>
          <w:rFonts w:ascii="仿宋" w:eastAsia="仿宋" w:hAnsi="仿宋"/>
          <w:b w:val="0"/>
          <w:bCs/>
          <w:color w:val="000000"/>
          <w:sz w:val="30"/>
          <w:szCs w:val="30"/>
        </w:rPr>
        <w:t>简易程序适用率</w:t>
      </w:r>
      <w:r w:rsidRPr="00E95A71">
        <w:rPr>
          <w:rFonts w:ascii="仿宋" w:eastAsia="仿宋" w:hAnsi="仿宋"/>
          <w:b w:val="0"/>
          <w:bCs/>
          <w:color w:val="000000"/>
          <w:sz w:val="30"/>
          <w:szCs w:val="30"/>
        </w:rPr>
        <w:t>和法定正常审限内结案率作为重要指标，如此则使得包括送达在内的审判各环节和全过程都面临手段革新和效率提振的现实需要。</w:t>
      </w:r>
    </w:p>
    <w:p w:rsidR="00826359" w:rsidRPr="00E95A71" w:rsidRDefault="00826359" w:rsidP="0086182B">
      <w:pPr>
        <w:spacing w:line="560" w:lineRule="exact"/>
        <w:ind w:firstLine="630"/>
        <w:rPr>
          <w:rFonts w:ascii="楷体" w:eastAsia="楷体" w:hAnsi="楷体" w:cs="楷体"/>
          <w:b/>
          <w:bCs/>
          <w:color w:val="000000"/>
          <w:sz w:val="30"/>
          <w:szCs w:val="30"/>
        </w:rPr>
      </w:pPr>
      <w:r w:rsidRPr="00E95A71">
        <w:rPr>
          <w:rFonts w:ascii="楷体" w:eastAsia="楷体" w:hAnsi="楷体" w:cs="楷体" w:hint="eastAsia"/>
          <w:b/>
          <w:bCs/>
          <w:color w:val="000000"/>
          <w:sz w:val="30"/>
          <w:szCs w:val="30"/>
        </w:rPr>
        <w:t>（四）降低送达工作成本的需要</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仿宋" w:eastAsia="仿宋" w:hAnsi="仿宋" w:hint="eastAsia"/>
          <w:color w:val="000000"/>
          <w:sz w:val="30"/>
          <w:szCs w:val="30"/>
        </w:rPr>
        <w:t>送达工作成本包括两个方面：一是费用成本，二是人力成本。为了保证尽可能对被告进行送达，原告在个案中提供的被告送达地址往往会超过被告的数量，这些地址都需要法院工作人员进行直接送达或邮寄送达，无形中增加了法院送达人员的工作量。由</w:t>
      </w:r>
      <w:r w:rsidRPr="00E95A71">
        <w:rPr>
          <w:rFonts w:ascii="仿宋" w:eastAsia="仿宋" w:hAnsi="仿宋" w:hint="eastAsia"/>
          <w:color w:val="000000"/>
          <w:sz w:val="30"/>
          <w:szCs w:val="30"/>
        </w:rPr>
        <w:lastRenderedPageBreak/>
        <w:t>于送达地址增多，所打印的传票、应诉举证通知书、起诉状副本等材料也随之增多，而每一次邮寄无论成功与否，均需要支付邮寄费用，成本</w:t>
      </w:r>
      <w:r w:rsidR="00227001" w:rsidRPr="00E95A71">
        <w:rPr>
          <w:rFonts w:ascii="仿宋" w:eastAsia="仿宋" w:hAnsi="仿宋" w:hint="eastAsia"/>
          <w:color w:val="000000"/>
          <w:sz w:val="30"/>
          <w:szCs w:val="30"/>
        </w:rPr>
        <w:t>高昂</w:t>
      </w:r>
      <w:r w:rsidRPr="00E95A71">
        <w:rPr>
          <w:rFonts w:ascii="仿宋" w:eastAsia="仿宋" w:hAnsi="仿宋" w:hint="eastAsia"/>
          <w:color w:val="000000"/>
          <w:sz w:val="30"/>
          <w:szCs w:val="30"/>
        </w:rPr>
        <w:t>，且送达成本亦随着用工成本逐年增加</w:t>
      </w:r>
      <w:r w:rsidRPr="00E95A71">
        <w:rPr>
          <w:rStyle w:val="ae"/>
          <w:rFonts w:ascii="仿宋" w:eastAsia="仿宋" w:hAnsi="仿宋"/>
          <w:color w:val="000000"/>
          <w:sz w:val="30"/>
          <w:szCs w:val="30"/>
        </w:rPr>
        <w:footnoteReference w:id="6"/>
      </w:r>
      <w:r w:rsidRPr="00E95A71">
        <w:rPr>
          <w:rFonts w:ascii="仿宋" w:eastAsia="仿宋" w:hAnsi="仿宋" w:hint="eastAsia"/>
          <w:color w:val="000000"/>
          <w:sz w:val="30"/>
          <w:szCs w:val="30"/>
        </w:rPr>
        <w:t>。</w:t>
      </w:r>
    </w:p>
    <w:p w:rsidR="00826359" w:rsidRPr="00E95A71" w:rsidRDefault="00826359" w:rsidP="0086182B">
      <w:pPr>
        <w:spacing w:line="560" w:lineRule="exact"/>
        <w:ind w:firstLine="630"/>
        <w:rPr>
          <w:rFonts w:ascii="黑体" w:eastAsia="黑体" w:hAnsi="黑体"/>
          <w:color w:val="000000"/>
          <w:sz w:val="30"/>
          <w:szCs w:val="30"/>
        </w:rPr>
      </w:pPr>
      <w:r w:rsidRPr="00E95A71">
        <w:rPr>
          <w:rFonts w:ascii="黑体" w:eastAsia="黑体" w:hAnsi="黑体" w:hint="eastAsia"/>
          <w:color w:val="000000"/>
          <w:sz w:val="30"/>
          <w:szCs w:val="30"/>
        </w:rPr>
        <w:t>二、实施电子送达工作的实践探索</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仿宋" w:eastAsia="仿宋" w:hAnsi="仿宋"/>
          <w:color w:val="000000"/>
          <w:sz w:val="30"/>
          <w:szCs w:val="30"/>
        </w:rPr>
        <w:t>2019</w:t>
      </w:r>
      <w:r w:rsidR="004D65E5" w:rsidRPr="00E95A71">
        <w:rPr>
          <w:rFonts w:ascii="仿宋" w:eastAsia="仿宋" w:hAnsi="仿宋"/>
          <w:color w:val="000000"/>
          <w:sz w:val="30"/>
          <w:szCs w:val="30"/>
        </w:rPr>
        <w:t>年以来，相城</w:t>
      </w:r>
      <w:r w:rsidRPr="00E95A71">
        <w:rPr>
          <w:rFonts w:ascii="仿宋" w:eastAsia="仿宋" w:hAnsi="仿宋"/>
          <w:color w:val="000000"/>
          <w:sz w:val="30"/>
          <w:szCs w:val="30"/>
        </w:rPr>
        <w:t>法院不断深化“智慧审判苏州模式”</w:t>
      </w:r>
      <w:r w:rsidR="00375D07" w:rsidRPr="00E95A71">
        <w:rPr>
          <w:rFonts w:ascii="仿宋" w:eastAsia="仿宋" w:hAnsi="仿宋"/>
          <w:color w:val="000000"/>
          <w:sz w:val="30"/>
          <w:szCs w:val="30"/>
        </w:rPr>
        <w:t>，构建综合集约送达新模式，将电子送达整合为综合集约送达</w:t>
      </w:r>
      <w:r w:rsidRPr="00E95A71">
        <w:rPr>
          <w:rFonts w:ascii="仿宋" w:eastAsia="仿宋" w:hAnsi="仿宋"/>
          <w:color w:val="000000"/>
          <w:sz w:val="30"/>
          <w:szCs w:val="30"/>
        </w:rPr>
        <w:t>中的核心一环，利用电子送达的高效性和便捷性，成功打造“一中心、二结合、三对接、五步走”智能化、集约化和闭环化运作的综合送达平台，有力提升了审判质效。</w:t>
      </w:r>
    </w:p>
    <w:p w:rsidR="00826359" w:rsidRPr="00E95A71" w:rsidRDefault="00826359" w:rsidP="0086182B">
      <w:pPr>
        <w:spacing w:line="560" w:lineRule="exact"/>
        <w:ind w:firstLine="630"/>
        <w:rPr>
          <w:rFonts w:ascii="楷体" w:eastAsia="楷体" w:hAnsi="楷体" w:cs="楷体"/>
          <w:b/>
          <w:bCs/>
          <w:color w:val="000000"/>
          <w:sz w:val="30"/>
          <w:szCs w:val="30"/>
        </w:rPr>
      </w:pPr>
      <w:r w:rsidRPr="00E95A71">
        <w:rPr>
          <w:rFonts w:ascii="楷体" w:eastAsia="楷体" w:hAnsi="楷体" w:cs="楷体" w:hint="eastAsia"/>
          <w:b/>
          <w:bCs/>
          <w:color w:val="000000"/>
          <w:sz w:val="30"/>
          <w:szCs w:val="30"/>
        </w:rPr>
        <w:t>（一）综合集约电子送达模式</w:t>
      </w:r>
    </w:p>
    <w:p w:rsidR="00826359" w:rsidRPr="007A5C5D" w:rsidRDefault="00826359" w:rsidP="0086182B">
      <w:pPr>
        <w:spacing w:line="560" w:lineRule="exact"/>
        <w:ind w:firstLine="630"/>
        <w:rPr>
          <w:rFonts w:ascii="仿宋" w:eastAsia="仿宋" w:hAnsi="仿宋"/>
          <w:b/>
          <w:bCs/>
          <w:color w:val="000000"/>
          <w:sz w:val="30"/>
          <w:szCs w:val="30"/>
        </w:rPr>
      </w:pPr>
      <w:r w:rsidRPr="007A5C5D">
        <w:rPr>
          <w:rFonts w:ascii="仿宋" w:eastAsia="仿宋" w:hAnsi="仿宋"/>
          <w:b/>
          <w:bCs/>
          <w:color w:val="000000"/>
          <w:sz w:val="30"/>
          <w:szCs w:val="30"/>
        </w:rPr>
        <w:t>1.打造“一个中心”，创新送达模式</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仿宋" w:eastAsia="仿宋" w:hAnsi="仿宋" w:hint="eastAsia"/>
          <w:color w:val="000000"/>
          <w:sz w:val="30"/>
          <w:szCs w:val="30"/>
        </w:rPr>
        <w:t>相城法院试行的综合集约电子送达模式，是建立在已开展的电子送达工作</w:t>
      </w:r>
      <w:r w:rsidR="008D0D1A" w:rsidRPr="00E95A71">
        <w:rPr>
          <w:rFonts w:ascii="仿宋" w:eastAsia="仿宋" w:hAnsi="仿宋" w:hint="eastAsia"/>
          <w:color w:val="000000"/>
          <w:sz w:val="30"/>
          <w:szCs w:val="30"/>
        </w:rPr>
        <w:t>基础上</w:t>
      </w:r>
      <w:r w:rsidRPr="00E95A71">
        <w:rPr>
          <w:rFonts w:ascii="仿宋" w:eastAsia="仿宋" w:hAnsi="仿宋" w:hint="eastAsia"/>
          <w:color w:val="000000"/>
          <w:sz w:val="30"/>
          <w:szCs w:val="30"/>
        </w:rPr>
        <w:t>，集约整合已有的苏州法院律师在线服务平台和苏州智慧法院</w:t>
      </w:r>
      <w:r w:rsidRPr="00E95A71">
        <w:rPr>
          <w:rFonts w:ascii="仿宋" w:eastAsia="仿宋" w:hAnsi="仿宋"/>
          <w:color w:val="000000"/>
          <w:sz w:val="30"/>
          <w:szCs w:val="30"/>
        </w:rPr>
        <w:t>APP系统、</w:t>
      </w:r>
      <w:r w:rsidRPr="00E95A71">
        <w:rPr>
          <w:rFonts w:ascii="仿宋" w:eastAsia="仿宋" w:hAnsi="仿宋"/>
          <w:sz w:val="30"/>
          <w:szCs w:val="30"/>
        </w:rPr>
        <w:t>12368平台</w:t>
      </w:r>
      <w:r w:rsidRPr="00E95A71">
        <w:rPr>
          <w:rFonts w:ascii="仿宋" w:eastAsia="仿宋" w:hAnsi="仿宋" w:hint="eastAsia"/>
          <w:color w:val="000000"/>
          <w:sz w:val="30"/>
          <w:szCs w:val="30"/>
        </w:rPr>
        <w:t>等网络平台，融汇司法、技术、社会等多种资源，探索打造集约化、社会化、智能化运作、全流程覆盖的一站式</w:t>
      </w:r>
      <w:r w:rsidR="00375D07" w:rsidRPr="00E95A71">
        <w:rPr>
          <w:rFonts w:ascii="仿宋" w:eastAsia="仿宋" w:hAnsi="仿宋" w:hint="eastAsia"/>
          <w:color w:val="000000"/>
          <w:sz w:val="30"/>
          <w:szCs w:val="30"/>
        </w:rPr>
        <w:t>综合集约送达中心</w:t>
      </w:r>
      <w:r w:rsidRPr="00E95A71">
        <w:rPr>
          <w:rFonts w:ascii="仿宋" w:eastAsia="仿宋" w:hAnsi="仿宋" w:hint="eastAsia"/>
          <w:color w:val="000000"/>
          <w:sz w:val="30"/>
          <w:szCs w:val="30"/>
        </w:rPr>
        <w:t>。</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楷体" w:eastAsia="楷体" w:hAnsi="楷体" w:hint="eastAsia"/>
          <w:color w:val="000000"/>
          <w:sz w:val="30"/>
          <w:szCs w:val="30"/>
        </w:rPr>
        <w:t>集约化展开。</w:t>
      </w:r>
      <w:r w:rsidRPr="00E95A71">
        <w:rPr>
          <w:rFonts w:ascii="仿宋" w:eastAsia="仿宋" w:hAnsi="仿宋" w:hint="eastAsia"/>
          <w:color w:val="000000"/>
          <w:sz w:val="30"/>
          <w:szCs w:val="30"/>
        </w:rPr>
        <w:t>传统的送达工作，由法官助理和书记员在法官的指导下办理。该院一站式</w:t>
      </w:r>
      <w:r w:rsidR="00375D07" w:rsidRPr="00E95A71">
        <w:rPr>
          <w:rFonts w:ascii="仿宋" w:eastAsia="仿宋" w:hAnsi="仿宋" w:hint="eastAsia"/>
          <w:color w:val="000000"/>
          <w:sz w:val="30"/>
          <w:szCs w:val="30"/>
        </w:rPr>
        <w:t>综合集约送达中心</w:t>
      </w:r>
      <w:r w:rsidRPr="00E95A71">
        <w:rPr>
          <w:rFonts w:ascii="仿宋" w:eastAsia="仿宋" w:hAnsi="仿宋" w:hint="eastAsia"/>
          <w:color w:val="000000"/>
          <w:sz w:val="30"/>
          <w:szCs w:val="30"/>
        </w:rPr>
        <w:t>建成后，将原本分散在各庭室书记员、助理和法官手中的传统送达工作，集约至送达中心完成。一站式</w:t>
      </w:r>
      <w:r w:rsidR="00375D07" w:rsidRPr="00E95A71">
        <w:rPr>
          <w:rFonts w:ascii="仿宋" w:eastAsia="仿宋" w:hAnsi="仿宋" w:hint="eastAsia"/>
          <w:color w:val="000000"/>
          <w:sz w:val="30"/>
          <w:szCs w:val="30"/>
        </w:rPr>
        <w:t>综合集约送达中心</w:t>
      </w:r>
      <w:r w:rsidRPr="00E95A71">
        <w:rPr>
          <w:rFonts w:ascii="仿宋" w:eastAsia="仿宋" w:hAnsi="仿宋" w:hint="eastAsia"/>
          <w:color w:val="000000"/>
          <w:sz w:val="30"/>
          <w:szCs w:val="30"/>
        </w:rPr>
        <w:t>由专门人员负责，根据个案需求，酌情进行直接送达、邮寄送达、电话送达、电子送达、网格送达、律师平台送达等多种手段，彻底解脱法官及审判服务人员送达工作量，让法官集中于审判、聚焦于质效。</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楷体" w:eastAsia="楷体" w:hAnsi="楷体" w:hint="eastAsia"/>
          <w:color w:val="000000"/>
          <w:sz w:val="30"/>
          <w:szCs w:val="30"/>
        </w:rPr>
        <w:lastRenderedPageBreak/>
        <w:t>社会化运作。</w:t>
      </w:r>
      <w:r w:rsidRPr="00E95A71">
        <w:rPr>
          <w:rFonts w:ascii="仿宋" w:eastAsia="仿宋" w:hAnsi="仿宋" w:hint="eastAsia"/>
          <w:color w:val="000000"/>
          <w:sz w:val="30"/>
          <w:szCs w:val="30"/>
        </w:rPr>
        <w:t>为剥离法官和审判辅助人员的送达工作量，该院建立了专业送达团队，通过购买社会服务，建立一站式</w:t>
      </w:r>
      <w:r w:rsidR="00375D07" w:rsidRPr="00E95A71">
        <w:rPr>
          <w:rFonts w:ascii="仿宋" w:eastAsia="仿宋" w:hAnsi="仿宋" w:hint="eastAsia"/>
          <w:color w:val="000000"/>
          <w:sz w:val="30"/>
          <w:szCs w:val="30"/>
        </w:rPr>
        <w:t>综合集约送达中心</w:t>
      </w:r>
      <w:r w:rsidRPr="00E95A71">
        <w:rPr>
          <w:rFonts w:ascii="仿宋" w:eastAsia="仿宋" w:hAnsi="仿宋" w:hint="eastAsia"/>
          <w:color w:val="000000"/>
          <w:sz w:val="30"/>
          <w:szCs w:val="30"/>
        </w:rPr>
        <w:t>。具体送达工作中，审判辅助人员只需一键发起送达指令，由该中心负责确定送达方式、查找送达地址、完成送达工作。一站式</w:t>
      </w:r>
      <w:r w:rsidR="00375D07" w:rsidRPr="00E95A71">
        <w:rPr>
          <w:rFonts w:ascii="仿宋" w:eastAsia="仿宋" w:hAnsi="仿宋" w:hint="eastAsia"/>
          <w:color w:val="000000"/>
          <w:sz w:val="30"/>
          <w:szCs w:val="30"/>
        </w:rPr>
        <w:t>综合集约送达中心</w:t>
      </w:r>
      <w:r w:rsidRPr="00E95A71">
        <w:rPr>
          <w:rFonts w:ascii="仿宋" w:eastAsia="仿宋" w:hAnsi="仿宋" w:hint="eastAsia"/>
          <w:color w:val="000000"/>
          <w:sz w:val="30"/>
          <w:szCs w:val="30"/>
        </w:rPr>
        <w:t>设立电话岗、文印岗、邮寄岗、扫描岗等不同角色，由</w:t>
      </w:r>
      <w:r w:rsidRPr="00E95A71">
        <w:rPr>
          <w:rFonts w:ascii="仿宋" w:eastAsia="仿宋" w:hAnsi="仿宋"/>
          <w:color w:val="000000"/>
          <w:sz w:val="30"/>
          <w:szCs w:val="30"/>
        </w:rPr>
        <w:t>8名外包人员承担相应工作。</w:t>
      </w:r>
      <w:r w:rsidRPr="00E95A71">
        <w:rPr>
          <w:rFonts w:ascii="仿宋" w:eastAsia="仿宋" w:hAnsi="仿宋" w:hint="eastAsia"/>
          <w:color w:val="000000"/>
          <w:sz w:val="30"/>
          <w:szCs w:val="30"/>
        </w:rPr>
        <w:t>为</w:t>
      </w:r>
      <w:r w:rsidR="00375D07" w:rsidRPr="00E95A71">
        <w:rPr>
          <w:rFonts w:ascii="仿宋" w:eastAsia="仿宋" w:hAnsi="仿宋" w:hint="eastAsia"/>
          <w:color w:val="000000"/>
          <w:sz w:val="30"/>
          <w:szCs w:val="30"/>
        </w:rPr>
        <w:t>提升</w:t>
      </w:r>
      <w:r w:rsidRPr="00E95A71">
        <w:rPr>
          <w:rFonts w:ascii="仿宋" w:eastAsia="仿宋" w:hAnsi="仿宋" w:hint="eastAsia"/>
          <w:color w:val="000000"/>
          <w:sz w:val="30"/>
          <w:szCs w:val="30"/>
        </w:rPr>
        <w:t>送达中心工作</w:t>
      </w:r>
      <w:r w:rsidR="00375D07" w:rsidRPr="00E95A71">
        <w:rPr>
          <w:rFonts w:ascii="仿宋" w:eastAsia="仿宋" w:hAnsi="仿宋" w:hint="eastAsia"/>
          <w:color w:val="000000"/>
          <w:sz w:val="30"/>
          <w:szCs w:val="30"/>
        </w:rPr>
        <w:t>的规范性、保密性</w:t>
      </w:r>
      <w:r w:rsidRPr="00E95A71">
        <w:rPr>
          <w:rFonts w:ascii="仿宋" w:eastAsia="仿宋" w:hAnsi="仿宋" w:hint="eastAsia"/>
          <w:color w:val="000000"/>
          <w:sz w:val="30"/>
          <w:szCs w:val="30"/>
        </w:rPr>
        <w:t>，该院制定了送达中心人员工作流程规范性文件，严格签订保密协议，进行科学规范的管理考核，确保服务高效优质。</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楷体" w:eastAsia="楷体" w:hAnsi="楷体" w:hint="eastAsia"/>
          <w:color w:val="000000"/>
          <w:sz w:val="30"/>
          <w:szCs w:val="30"/>
        </w:rPr>
        <w:t>智能化升级。</w:t>
      </w:r>
      <w:r w:rsidRPr="00E95A71">
        <w:rPr>
          <w:rFonts w:ascii="仿宋" w:eastAsia="仿宋" w:hAnsi="仿宋" w:hint="eastAsia"/>
          <w:color w:val="000000"/>
          <w:sz w:val="30"/>
          <w:szCs w:val="30"/>
        </w:rPr>
        <w:t>为提升综合送达中心功能，相城法院全力打造一体化综合送达平台，依托办案系统并联起苏州法院律师在线服务平台和苏州智慧法院</w:t>
      </w:r>
      <w:r w:rsidRPr="00E95A71">
        <w:rPr>
          <w:rFonts w:ascii="仿宋" w:eastAsia="仿宋" w:hAnsi="仿宋"/>
          <w:color w:val="000000"/>
          <w:sz w:val="30"/>
          <w:szCs w:val="30"/>
        </w:rPr>
        <w:t>APP系统、12368平台</w:t>
      </w:r>
      <w:r w:rsidRPr="00E95A71">
        <w:rPr>
          <w:rFonts w:ascii="仿宋" w:eastAsia="仿宋" w:hAnsi="仿宋" w:hint="eastAsia"/>
          <w:color w:val="000000"/>
          <w:sz w:val="30"/>
          <w:szCs w:val="30"/>
        </w:rPr>
        <w:t>等网络平台，将送达任务的发起入口集约至办案平台，实现一键发起、各平台同步进行电子送达。该院通过在办案系统内嵌入应诉通知书、举证通知书、告知审判人员通知</w:t>
      </w:r>
      <w:r w:rsidR="00375D07" w:rsidRPr="00E95A71">
        <w:rPr>
          <w:rFonts w:ascii="仿宋" w:eastAsia="仿宋" w:hAnsi="仿宋" w:hint="eastAsia"/>
          <w:color w:val="000000"/>
          <w:sz w:val="30"/>
          <w:szCs w:val="30"/>
        </w:rPr>
        <w:t>书等文书模板，实现一键生成、电子签章等功能，彻底扭转了原本由</w:t>
      </w:r>
      <w:r w:rsidRPr="00E95A71">
        <w:rPr>
          <w:rFonts w:ascii="仿宋" w:eastAsia="仿宋" w:hAnsi="仿宋" w:hint="eastAsia"/>
          <w:color w:val="000000"/>
          <w:sz w:val="30"/>
          <w:szCs w:val="30"/>
        </w:rPr>
        <w:t>辅助人员承担的文书草拟、打印签章、分拣装订等工作，实现所有送达材料从制作、签章、印刷、封装到送达全流程“无纸化”发起，集约化处理并及时反馈。同时，该院还在办案系统内嵌入电话送达自动录音模块，一键拨打电话，并将语音转存至电子卷宗。</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楷体" w:eastAsia="楷体" w:hAnsi="楷体" w:cs="楷体" w:hint="eastAsia"/>
          <w:color w:val="000000"/>
          <w:sz w:val="30"/>
          <w:szCs w:val="30"/>
        </w:rPr>
        <w:t>全流程覆盖。</w:t>
      </w:r>
      <w:r w:rsidRPr="00E95A71">
        <w:rPr>
          <w:rFonts w:ascii="仿宋" w:eastAsia="仿宋" w:hAnsi="仿宋" w:hint="eastAsia"/>
          <w:color w:val="000000"/>
          <w:sz w:val="30"/>
          <w:szCs w:val="30"/>
        </w:rPr>
        <w:t>相城法院自</w:t>
      </w:r>
      <w:r w:rsidRPr="00E95A71">
        <w:rPr>
          <w:rFonts w:ascii="仿宋" w:eastAsia="仿宋" w:hAnsi="仿宋"/>
          <w:color w:val="000000"/>
          <w:sz w:val="30"/>
          <w:szCs w:val="30"/>
        </w:rPr>
        <w:t>2019年</w:t>
      </w:r>
      <w:r w:rsidR="008D0D1A" w:rsidRPr="00E95A71">
        <w:rPr>
          <w:rFonts w:ascii="仿宋" w:eastAsia="仿宋" w:hAnsi="仿宋" w:hint="eastAsia"/>
          <w:color w:val="000000"/>
          <w:sz w:val="30"/>
          <w:szCs w:val="30"/>
        </w:rPr>
        <w:t>7</w:t>
      </w:r>
      <w:r w:rsidRPr="00E95A71">
        <w:rPr>
          <w:rFonts w:ascii="仿宋" w:eastAsia="仿宋" w:hAnsi="仿宋" w:hint="eastAsia"/>
          <w:color w:val="000000"/>
          <w:sz w:val="30"/>
          <w:szCs w:val="30"/>
        </w:rPr>
        <w:t>月开始推广电子送达，切实覆盖诉讼全程。原告立案时，即填写包含电子送达选项的地址确认书，对于同意电子送达的，在案件审理全程均通过电子方式送达向其送达各类文书。立案后，电子送达传票、副本；对于</w:t>
      </w:r>
      <w:r w:rsidRPr="00E95A71">
        <w:rPr>
          <w:rFonts w:ascii="仿宋" w:eastAsia="仿宋" w:hAnsi="仿宋" w:hint="eastAsia"/>
          <w:color w:val="000000"/>
          <w:sz w:val="30"/>
          <w:szCs w:val="30"/>
        </w:rPr>
        <w:lastRenderedPageBreak/>
        <w:t>适合在线庭审的，一并电子送达在线庭审告知书、在线庭审须知等文书，实现了电子送达从立案到审理的全程覆盖。</w:t>
      </w:r>
    </w:p>
    <w:p w:rsidR="00826359" w:rsidRPr="007A5C5D" w:rsidRDefault="00826359" w:rsidP="0086182B">
      <w:pPr>
        <w:spacing w:line="560" w:lineRule="exact"/>
        <w:ind w:firstLine="630"/>
        <w:rPr>
          <w:rFonts w:ascii="仿宋" w:eastAsia="仿宋" w:hAnsi="仿宋"/>
          <w:b/>
          <w:bCs/>
          <w:color w:val="000000"/>
          <w:sz w:val="30"/>
          <w:szCs w:val="30"/>
        </w:rPr>
      </w:pPr>
      <w:r w:rsidRPr="007A5C5D">
        <w:rPr>
          <w:rFonts w:ascii="仿宋" w:eastAsia="仿宋" w:hAnsi="仿宋"/>
          <w:b/>
          <w:bCs/>
          <w:color w:val="000000"/>
          <w:sz w:val="30"/>
          <w:szCs w:val="30"/>
        </w:rPr>
        <w:t>2.</w:t>
      </w:r>
      <w:r w:rsidRPr="007A5C5D">
        <w:rPr>
          <w:rFonts w:ascii="仿宋" w:eastAsia="仿宋" w:hAnsi="仿宋" w:hint="eastAsia"/>
          <w:b/>
          <w:bCs/>
          <w:color w:val="000000"/>
          <w:sz w:val="30"/>
          <w:szCs w:val="30"/>
        </w:rPr>
        <w:t>突出“二个结合”，释放司法动能</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仿宋" w:eastAsia="仿宋" w:hAnsi="仿宋" w:hint="eastAsia"/>
          <w:color w:val="000000"/>
          <w:sz w:val="30"/>
          <w:szCs w:val="30"/>
        </w:rPr>
        <w:t>相城法院坚持“建用并举”，将综合集约送达与审判质效和司法改革结合起来，解放和发展司法生产力，提升司法公信力。</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仿宋" w:eastAsia="仿宋" w:hAnsi="仿宋" w:hint="eastAsia"/>
          <w:color w:val="000000"/>
          <w:sz w:val="30"/>
          <w:szCs w:val="30"/>
        </w:rPr>
        <w:t>与审判管理相结合，倒逼案件“提质增效”。该院将送达程序纳入审判管理视野，综合集约送达过程全程留痕，送达信息节点推送，实时把送达工作完成情况及效率同步记入电子卷宗和干警业绩档案，倒逼干警规范</w:t>
      </w:r>
      <w:r w:rsidR="00375D07" w:rsidRPr="00E95A71">
        <w:rPr>
          <w:rFonts w:ascii="仿宋" w:eastAsia="仿宋" w:hAnsi="仿宋" w:hint="eastAsia"/>
          <w:color w:val="000000"/>
          <w:sz w:val="30"/>
          <w:szCs w:val="30"/>
        </w:rPr>
        <w:t>送达活动，提高司法效率</w:t>
      </w:r>
      <w:r w:rsidRPr="00E95A71">
        <w:rPr>
          <w:rFonts w:ascii="仿宋" w:eastAsia="仿宋" w:hAnsi="仿宋" w:hint="eastAsia"/>
          <w:color w:val="000000"/>
          <w:sz w:val="30"/>
          <w:szCs w:val="30"/>
        </w:rPr>
        <w:t>。</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楷体" w:eastAsia="楷体" w:hAnsi="楷体" w:hint="eastAsia"/>
          <w:color w:val="000000"/>
          <w:sz w:val="30"/>
          <w:szCs w:val="30"/>
        </w:rPr>
        <w:t>与司法改革相结合，顺应改革“求新务实”。</w:t>
      </w:r>
      <w:r w:rsidRPr="00E95A71">
        <w:rPr>
          <w:rFonts w:ascii="仿宋" w:eastAsia="仿宋" w:hAnsi="仿宋" w:hint="eastAsia"/>
          <w:color w:val="000000"/>
          <w:sz w:val="30"/>
          <w:szCs w:val="30"/>
        </w:rPr>
        <w:t>将综合集约送达与民事诉讼程序繁简分流改革试点工作结合起来，对买卖合同、“道赔”、劳动争议纠纷等六大类简易案件，在当事人送达法律文书的同时一并送达案件审理要素表，从而实现简案快审。同时，将综合集约送达系统建设与智慧诉讼服务、在线庭审、数字化执行等技术同步规划建设、交互支撑运用，推动电子诉讼走深走实。</w:t>
      </w:r>
    </w:p>
    <w:p w:rsidR="00826359" w:rsidRPr="007A5C5D" w:rsidRDefault="00826359" w:rsidP="0086182B">
      <w:pPr>
        <w:spacing w:line="560" w:lineRule="exact"/>
        <w:ind w:firstLine="630"/>
        <w:rPr>
          <w:rFonts w:ascii="仿宋" w:eastAsia="仿宋" w:hAnsi="仿宋"/>
          <w:b/>
          <w:bCs/>
          <w:color w:val="000000"/>
          <w:sz w:val="30"/>
          <w:szCs w:val="30"/>
        </w:rPr>
      </w:pPr>
      <w:r w:rsidRPr="007A5C5D">
        <w:rPr>
          <w:rFonts w:ascii="仿宋" w:eastAsia="仿宋" w:hAnsi="仿宋"/>
          <w:b/>
          <w:bCs/>
          <w:color w:val="000000"/>
          <w:sz w:val="30"/>
          <w:szCs w:val="30"/>
        </w:rPr>
        <w:t>3.强化“三个对接”，提升送达实效</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仿宋" w:eastAsia="仿宋" w:hAnsi="仿宋" w:hint="eastAsia"/>
          <w:color w:val="000000"/>
          <w:sz w:val="30"/>
          <w:szCs w:val="30"/>
        </w:rPr>
        <w:t>依托网络办案系统，实现与律师事务所、区综治中心、媒体公告组的在线对接。</w:t>
      </w:r>
    </w:p>
    <w:p w:rsidR="00826359" w:rsidRPr="00E95A71" w:rsidRDefault="00826359" w:rsidP="0086182B">
      <w:pPr>
        <w:spacing w:line="560" w:lineRule="exact"/>
        <w:ind w:firstLine="630"/>
        <w:rPr>
          <w:rFonts w:ascii="仿宋_GB2312" w:eastAsia="仿宋_GB2312" w:hAnsi="仿宋"/>
          <w:color w:val="000000"/>
          <w:sz w:val="30"/>
          <w:szCs w:val="30"/>
        </w:rPr>
      </w:pPr>
      <w:r w:rsidRPr="00E95A71">
        <w:rPr>
          <w:rFonts w:ascii="楷体" w:eastAsia="楷体" w:hAnsi="楷体" w:hint="eastAsia"/>
          <w:color w:val="000000"/>
          <w:sz w:val="30"/>
          <w:szCs w:val="30"/>
        </w:rPr>
        <w:t>与律师事务所在线对接，实现一键送达。</w:t>
      </w:r>
      <w:r w:rsidRPr="00E95A71">
        <w:rPr>
          <w:rFonts w:ascii="仿宋" w:eastAsia="仿宋" w:hAnsi="仿宋" w:hint="eastAsia"/>
          <w:color w:val="000000"/>
          <w:sz w:val="30"/>
          <w:szCs w:val="30"/>
        </w:rPr>
        <w:t>相城法院与区司法局、律师协会签订</w:t>
      </w:r>
      <w:r w:rsidR="005B1D4E" w:rsidRPr="00E95A71">
        <w:rPr>
          <w:rFonts w:ascii="仿宋" w:eastAsia="仿宋" w:hAnsi="仿宋" w:hint="eastAsia"/>
          <w:color w:val="000000"/>
          <w:sz w:val="30"/>
          <w:szCs w:val="30"/>
        </w:rPr>
        <w:t>网上送达诉讼文书框架协议，区内27家律所330余名律师，全部实名注册苏州法院律师在线服务平台</w:t>
      </w:r>
      <w:r w:rsidRPr="00E95A71">
        <w:rPr>
          <w:rFonts w:ascii="仿宋" w:eastAsia="仿宋" w:hAnsi="仿宋" w:hint="eastAsia"/>
          <w:color w:val="000000"/>
          <w:sz w:val="30"/>
          <w:szCs w:val="30"/>
        </w:rPr>
        <w:t>和苏州智慧法院</w:t>
      </w:r>
      <w:r w:rsidRPr="00E95A71">
        <w:rPr>
          <w:rFonts w:ascii="仿宋" w:eastAsia="仿宋" w:hAnsi="仿宋"/>
          <w:color w:val="000000"/>
          <w:sz w:val="30"/>
          <w:szCs w:val="30"/>
        </w:rPr>
        <w:t>APP</w:t>
      </w:r>
      <w:r w:rsidRPr="00E95A71">
        <w:rPr>
          <w:rFonts w:ascii="仿宋" w:eastAsia="仿宋" w:hAnsi="仿宋" w:hint="eastAsia"/>
          <w:color w:val="000000"/>
          <w:sz w:val="30"/>
          <w:szCs w:val="30"/>
        </w:rPr>
        <w:t>。对于区外律师则在个案中逐一征求意见，同意电子送达的一并邀请注册，纳入律师在线服务范围。</w:t>
      </w:r>
    </w:p>
    <w:p w:rsidR="00826359" w:rsidRPr="00E95A71" w:rsidRDefault="00826359" w:rsidP="0086182B">
      <w:pPr>
        <w:spacing w:line="560" w:lineRule="exact"/>
        <w:ind w:firstLine="630"/>
        <w:jc w:val="left"/>
        <w:rPr>
          <w:rFonts w:ascii="仿宋" w:eastAsia="仿宋" w:hAnsi="仿宋"/>
          <w:color w:val="000000"/>
          <w:sz w:val="30"/>
          <w:szCs w:val="30"/>
        </w:rPr>
      </w:pPr>
      <w:r w:rsidRPr="00E95A71">
        <w:rPr>
          <w:rFonts w:ascii="楷体" w:eastAsia="楷体" w:hAnsi="楷体" w:hint="eastAsia"/>
          <w:color w:val="000000"/>
          <w:sz w:val="30"/>
          <w:szCs w:val="30"/>
        </w:rPr>
        <w:lastRenderedPageBreak/>
        <w:t>与综治中心在线对接，实现网格协查。</w:t>
      </w:r>
      <w:r w:rsidR="008D0D1A" w:rsidRPr="00E95A71">
        <w:rPr>
          <w:rFonts w:ascii="仿宋" w:eastAsia="仿宋" w:hAnsi="仿宋" w:hint="eastAsia"/>
          <w:color w:val="000000"/>
          <w:sz w:val="30"/>
          <w:szCs w:val="30"/>
        </w:rPr>
        <w:t>相城法院</w:t>
      </w:r>
      <w:r w:rsidRPr="00E95A71">
        <w:rPr>
          <w:rFonts w:ascii="仿宋" w:eastAsia="仿宋" w:hAnsi="仿宋" w:hint="eastAsia"/>
          <w:color w:val="000000"/>
          <w:sz w:val="30"/>
          <w:szCs w:val="30"/>
        </w:rPr>
        <w:t>与区社会综合治理联动中心深度合作，打通法院内网与综治中心外网网格平台，实现无缝对接。联合出台《关于依托网格管理平台进行协助司法送达调查的实施方案》，审判辅助人员在内网发起网格协查任务，网格员通过手机</w:t>
      </w:r>
      <w:r w:rsidRPr="00E95A71">
        <w:rPr>
          <w:rFonts w:ascii="仿宋" w:eastAsia="仿宋" w:hAnsi="仿宋"/>
          <w:color w:val="000000"/>
          <w:sz w:val="30"/>
          <w:szCs w:val="30"/>
        </w:rPr>
        <w:t>APP收到指令进行调查后，在24小时内反馈相关信息。</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楷体" w:eastAsia="楷体" w:hAnsi="楷体" w:hint="eastAsia"/>
          <w:color w:val="000000"/>
          <w:sz w:val="30"/>
          <w:szCs w:val="30"/>
        </w:rPr>
        <w:t>与媒体平台在线对接，实现网上公告。</w:t>
      </w:r>
      <w:r w:rsidR="008D0D1A" w:rsidRPr="00E95A71">
        <w:rPr>
          <w:rFonts w:ascii="仿宋" w:eastAsia="仿宋" w:hAnsi="仿宋" w:hint="eastAsia"/>
          <w:color w:val="000000"/>
          <w:sz w:val="30"/>
          <w:szCs w:val="30"/>
        </w:rPr>
        <w:t>相城法院与通达海公司深化合作，</w:t>
      </w:r>
      <w:r w:rsidR="00274910" w:rsidRPr="00E95A71">
        <w:rPr>
          <w:rFonts w:ascii="仿宋" w:eastAsia="仿宋" w:hAnsi="仿宋" w:hint="eastAsia"/>
          <w:color w:val="000000"/>
          <w:sz w:val="30"/>
          <w:szCs w:val="30"/>
        </w:rPr>
        <w:t>在办案系统开发公告管理模块，与人民法院报社</w:t>
      </w:r>
      <w:r w:rsidRPr="00E95A71">
        <w:rPr>
          <w:rFonts w:ascii="仿宋" w:eastAsia="仿宋" w:hAnsi="仿宋" w:hint="eastAsia"/>
          <w:color w:val="000000"/>
          <w:sz w:val="30"/>
          <w:szCs w:val="30"/>
        </w:rPr>
        <w:t>线上平台对接。公告送达任务发起后，系统自动将任务推送至报社后台；公告刊登后，平台自动将结果反馈至送达系统，刊登公告的当期报纸邮寄至当事人和承办法官。</w:t>
      </w:r>
    </w:p>
    <w:p w:rsidR="00826359" w:rsidRPr="007A5C5D" w:rsidRDefault="00826359" w:rsidP="0086182B">
      <w:pPr>
        <w:spacing w:line="560" w:lineRule="exact"/>
        <w:ind w:firstLine="630"/>
        <w:rPr>
          <w:rFonts w:ascii="仿宋" w:eastAsia="仿宋" w:hAnsi="仿宋"/>
          <w:b/>
          <w:bCs/>
          <w:color w:val="000000"/>
          <w:sz w:val="30"/>
          <w:szCs w:val="30"/>
        </w:rPr>
      </w:pPr>
      <w:r w:rsidRPr="007A5C5D">
        <w:rPr>
          <w:rFonts w:ascii="仿宋" w:eastAsia="仿宋" w:hAnsi="仿宋"/>
          <w:b/>
          <w:bCs/>
          <w:color w:val="000000"/>
          <w:sz w:val="30"/>
          <w:szCs w:val="30"/>
        </w:rPr>
        <w:t>4.</w:t>
      </w:r>
      <w:r w:rsidRPr="007A5C5D">
        <w:rPr>
          <w:rFonts w:ascii="仿宋" w:eastAsia="仿宋" w:hAnsi="仿宋" w:hint="eastAsia"/>
          <w:b/>
          <w:bCs/>
          <w:color w:val="000000"/>
          <w:sz w:val="30"/>
          <w:szCs w:val="30"/>
        </w:rPr>
        <w:t>实行“五步快走”，构建闭环机制</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仿宋" w:eastAsia="仿宋" w:hAnsi="仿宋" w:hint="eastAsia"/>
          <w:color w:val="000000"/>
          <w:sz w:val="30"/>
          <w:szCs w:val="30"/>
        </w:rPr>
        <w:t>相城法院坚持“穷尽送达手段”，根据案件的实际情况，选择或者叠加适用电话</w:t>
      </w:r>
      <w:r w:rsidRPr="00E95A71">
        <w:rPr>
          <w:rFonts w:ascii="仿宋" w:eastAsia="仿宋" w:hAnsi="仿宋"/>
          <w:color w:val="000000"/>
          <w:sz w:val="30"/>
          <w:szCs w:val="30"/>
        </w:rPr>
        <w:t>+短信、律师平台+手机端、集中文印+邮寄送达、网格</w:t>
      </w:r>
      <w:r w:rsidRPr="00E95A71">
        <w:rPr>
          <w:rFonts w:ascii="仿宋" w:eastAsia="仿宋" w:hAnsi="仿宋" w:hint="eastAsia"/>
          <w:color w:val="000000"/>
          <w:sz w:val="30"/>
          <w:szCs w:val="30"/>
        </w:rPr>
        <w:t>协查</w:t>
      </w:r>
      <w:r w:rsidRPr="00E95A71">
        <w:rPr>
          <w:rFonts w:ascii="仿宋" w:eastAsia="仿宋" w:hAnsi="仿宋"/>
          <w:color w:val="000000"/>
          <w:sz w:val="30"/>
          <w:szCs w:val="30"/>
        </w:rPr>
        <w:t>+直接送达</w:t>
      </w:r>
      <w:r w:rsidRPr="00E95A71">
        <w:rPr>
          <w:rFonts w:ascii="仿宋" w:eastAsia="仿宋" w:hAnsi="仿宋" w:hint="eastAsia"/>
          <w:color w:val="000000"/>
          <w:sz w:val="30"/>
          <w:szCs w:val="30"/>
        </w:rPr>
        <w:t>、公告送达等“五步法”送达方式（见图</w:t>
      </w:r>
      <w:r w:rsidRPr="00E95A71">
        <w:rPr>
          <w:rFonts w:ascii="仿宋" w:eastAsia="仿宋" w:hAnsi="仿宋"/>
          <w:color w:val="000000"/>
          <w:sz w:val="30"/>
          <w:szCs w:val="30"/>
        </w:rPr>
        <w:t>1）</w:t>
      </w:r>
      <w:r w:rsidRPr="00E95A71">
        <w:rPr>
          <w:rFonts w:ascii="仿宋" w:eastAsia="仿宋" w:hAnsi="仿宋" w:hint="eastAsia"/>
          <w:color w:val="000000"/>
          <w:sz w:val="30"/>
          <w:szCs w:val="30"/>
        </w:rPr>
        <w:t>，确保能送尽送、送则尽快、送则有效。</w:t>
      </w:r>
    </w:p>
    <w:p w:rsidR="00826359" w:rsidRPr="00E95A71" w:rsidRDefault="00826359" w:rsidP="0086182B">
      <w:pPr>
        <w:spacing w:line="560" w:lineRule="exact"/>
        <w:ind w:firstLineChars="200" w:firstLine="600"/>
        <w:rPr>
          <w:rFonts w:ascii="仿宋" w:eastAsia="仿宋" w:hAnsi="仿宋"/>
          <w:color w:val="000000"/>
          <w:sz w:val="30"/>
          <w:szCs w:val="30"/>
        </w:rPr>
      </w:pPr>
      <w:r w:rsidRPr="00E95A71">
        <w:rPr>
          <w:rFonts w:ascii="楷体" w:eastAsia="楷体" w:hAnsi="楷体" w:hint="eastAsia"/>
          <w:color w:val="000000"/>
          <w:sz w:val="30"/>
          <w:szCs w:val="30"/>
        </w:rPr>
        <w:t>第一步：“电话</w:t>
      </w:r>
      <w:r w:rsidRPr="00E95A71">
        <w:rPr>
          <w:rFonts w:ascii="楷体" w:eastAsia="楷体" w:hAnsi="楷体"/>
          <w:color w:val="000000"/>
          <w:sz w:val="30"/>
          <w:szCs w:val="30"/>
        </w:rPr>
        <w:t>+短信”的电子送达。</w:t>
      </w:r>
      <w:r w:rsidR="00375D07" w:rsidRPr="00E95A71">
        <w:rPr>
          <w:rFonts w:ascii="仿宋" w:eastAsia="仿宋" w:hAnsi="仿宋" w:hint="eastAsia"/>
          <w:color w:val="000000"/>
          <w:sz w:val="30"/>
          <w:szCs w:val="30"/>
        </w:rPr>
        <w:t>对有电话号码的当事人，首先通过电话确认身份。如</w:t>
      </w:r>
      <w:r w:rsidRPr="00E95A71">
        <w:rPr>
          <w:rFonts w:ascii="仿宋" w:eastAsia="仿宋" w:hAnsi="仿宋" w:hint="eastAsia"/>
          <w:color w:val="000000"/>
          <w:sz w:val="30"/>
          <w:szCs w:val="30"/>
        </w:rPr>
        <w:t>当事人同意电话送达方式的，则告知其开庭时间、地点等要素</w:t>
      </w:r>
      <w:r w:rsidR="00375D07" w:rsidRPr="00E95A71">
        <w:rPr>
          <w:rFonts w:ascii="仿宋" w:eastAsia="仿宋" w:hAnsi="仿宋" w:hint="eastAsia"/>
          <w:color w:val="000000"/>
          <w:sz w:val="30"/>
          <w:szCs w:val="30"/>
        </w:rPr>
        <w:t>及电子送达采用的方法</w:t>
      </w:r>
      <w:r w:rsidRPr="00E95A71">
        <w:rPr>
          <w:rFonts w:ascii="仿宋" w:eastAsia="仿宋" w:hAnsi="仿宋" w:hint="eastAsia"/>
          <w:color w:val="000000"/>
          <w:sz w:val="30"/>
          <w:szCs w:val="30"/>
        </w:rPr>
        <w:t>，将通话内容录音，存入电子卷宗。电话挂断后，即通过</w:t>
      </w:r>
      <w:r w:rsidRPr="00E95A71">
        <w:rPr>
          <w:rFonts w:ascii="仿宋" w:eastAsia="仿宋" w:hAnsi="仿宋"/>
          <w:color w:val="000000"/>
          <w:sz w:val="30"/>
          <w:szCs w:val="30"/>
        </w:rPr>
        <w:t>12368平台向其发送短信，内容包括审理法院、合议庭成员等案件基本信息，传票、受理通知书、应诉通知书等可预览的法律文书，并提供链接让当事人可以选择在电脑端下载。</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楷体" w:eastAsia="楷体" w:hAnsi="楷体" w:hint="eastAsia"/>
          <w:color w:val="000000"/>
          <w:sz w:val="30"/>
          <w:szCs w:val="30"/>
        </w:rPr>
        <w:t>第二步：“律师平台</w:t>
      </w:r>
      <w:r w:rsidRPr="00E95A71">
        <w:rPr>
          <w:rFonts w:ascii="楷体" w:eastAsia="楷体" w:hAnsi="楷体"/>
          <w:color w:val="000000"/>
          <w:sz w:val="30"/>
          <w:szCs w:val="30"/>
        </w:rPr>
        <w:t>+APP”的云端送达。</w:t>
      </w:r>
      <w:r w:rsidRPr="00E95A71">
        <w:rPr>
          <w:rFonts w:ascii="仿宋" w:eastAsia="仿宋" w:hAnsi="仿宋" w:hint="eastAsia"/>
          <w:color w:val="000000"/>
          <w:sz w:val="30"/>
          <w:szCs w:val="30"/>
        </w:rPr>
        <w:t>该院依托苏州法院</w:t>
      </w:r>
      <w:r w:rsidRPr="00E95A71">
        <w:rPr>
          <w:rFonts w:ascii="仿宋" w:eastAsia="仿宋" w:hAnsi="仿宋" w:hint="eastAsia"/>
          <w:color w:val="000000"/>
          <w:sz w:val="30"/>
          <w:szCs w:val="30"/>
        </w:rPr>
        <w:lastRenderedPageBreak/>
        <w:t>律师在线服务平台和苏州智慧法院</w:t>
      </w:r>
      <w:r w:rsidRPr="00E95A71">
        <w:rPr>
          <w:rFonts w:ascii="仿宋" w:eastAsia="仿宋" w:hAnsi="仿宋"/>
          <w:color w:val="000000"/>
          <w:sz w:val="30"/>
          <w:szCs w:val="30"/>
        </w:rPr>
        <w:t>APP系统，自动识别代理信息，对于纳入苏州法院律师在线服务平台和苏州智慧法院APP名册范围的律师，优先适用平台进行电子送达，律师一键签收。同时，因律所内勤可统筹知悉电子送达情况，有利于律所进一步完善内部管理。</w:t>
      </w:r>
    </w:p>
    <w:p w:rsidR="00667724" w:rsidRPr="00E95A71" w:rsidRDefault="00826359" w:rsidP="00667724">
      <w:pPr>
        <w:spacing w:line="560" w:lineRule="exact"/>
        <w:ind w:firstLineChars="200" w:firstLine="600"/>
        <w:rPr>
          <w:rFonts w:ascii="仿宋" w:eastAsia="仿宋" w:hAnsi="仿宋"/>
          <w:color w:val="000000"/>
          <w:sz w:val="30"/>
          <w:szCs w:val="30"/>
        </w:rPr>
      </w:pPr>
      <w:r w:rsidRPr="00E95A71">
        <w:rPr>
          <w:rFonts w:ascii="楷体" w:eastAsia="楷体" w:hAnsi="楷体" w:hint="eastAsia"/>
          <w:color w:val="000000"/>
          <w:sz w:val="30"/>
          <w:szCs w:val="30"/>
        </w:rPr>
        <w:t>第三步：“集中文印</w:t>
      </w:r>
      <w:r w:rsidRPr="00E95A71">
        <w:rPr>
          <w:rFonts w:ascii="楷体" w:eastAsia="楷体" w:hAnsi="楷体"/>
          <w:color w:val="000000"/>
          <w:sz w:val="30"/>
          <w:szCs w:val="30"/>
        </w:rPr>
        <w:t>+邮寄”的补充送达。</w:t>
      </w:r>
      <w:r w:rsidRPr="00E95A71">
        <w:rPr>
          <w:rFonts w:ascii="仿宋" w:eastAsia="仿宋" w:hAnsi="仿宋" w:hint="eastAsia"/>
          <w:color w:val="000000"/>
          <w:sz w:val="30"/>
          <w:szCs w:val="30"/>
        </w:rPr>
        <w:t>对于无代理人且电话</w:t>
      </w:r>
      <w:r w:rsidRPr="00E95A71">
        <w:rPr>
          <w:rFonts w:ascii="仿宋" w:eastAsia="仿宋" w:hAnsi="仿宋"/>
          <w:color w:val="000000"/>
          <w:sz w:val="30"/>
          <w:szCs w:val="30"/>
        </w:rPr>
        <w:t>+短信无法送达的当事人，书记员无纸化发起邮寄送达。依照事先设定的标准，管理员分派任务、文书生成、打印、邮寄等全部通过系统进行流程化操作。首先，书记员通过系统自动生成要素齐全、形式统一、依法合规的100余种格式文书，发起送达。程序文书自动电子签章，裁判文书推送至文印岗进行审核签章后，邮寄岗人员将带签章的所有文书材料集中打印、封装，再交由邮政公司驻法院工作人员扫描二维</w:t>
      </w:r>
      <w:r w:rsidRPr="00E95A71">
        <w:rPr>
          <w:rFonts w:ascii="仿宋" w:eastAsia="仿宋" w:hAnsi="仿宋" w:hint="eastAsia"/>
          <w:color w:val="000000"/>
          <w:sz w:val="30"/>
          <w:szCs w:val="30"/>
        </w:rPr>
        <w:t>码打印邮政面单、</w:t>
      </w:r>
      <w:r w:rsidRPr="00E95A71">
        <w:rPr>
          <w:rFonts w:ascii="仿宋" w:eastAsia="仿宋" w:hAnsi="仿宋"/>
          <w:color w:val="000000"/>
          <w:sz w:val="30"/>
          <w:szCs w:val="30"/>
        </w:rPr>
        <w:t>EMS邮寄，并将送达回单通过云柜流转至各部门书记员，系统将送达邮寄信息直接反馈到送达系统。</w:t>
      </w:r>
    </w:p>
    <w:p w:rsidR="001755D1" w:rsidRPr="00E95A71" w:rsidRDefault="00826359" w:rsidP="00667724">
      <w:pPr>
        <w:spacing w:line="560" w:lineRule="exact"/>
        <w:ind w:firstLineChars="200" w:firstLine="600"/>
        <w:rPr>
          <w:rFonts w:ascii="仿宋" w:eastAsia="仿宋" w:hAnsi="仿宋"/>
          <w:color w:val="000000"/>
          <w:sz w:val="30"/>
          <w:szCs w:val="30"/>
        </w:rPr>
      </w:pPr>
      <w:r w:rsidRPr="00E95A71">
        <w:rPr>
          <w:rFonts w:ascii="楷体" w:eastAsia="楷体" w:hAnsi="楷体" w:hint="eastAsia"/>
          <w:color w:val="000000"/>
          <w:sz w:val="30"/>
          <w:szCs w:val="30"/>
        </w:rPr>
        <w:t>第四步：“网格协查</w:t>
      </w:r>
      <w:r w:rsidRPr="00E95A71">
        <w:rPr>
          <w:rFonts w:ascii="楷体" w:eastAsia="楷体" w:hAnsi="楷体"/>
          <w:color w:val="000000"/>
          <w:sz w:val="30"/>
          <w:szCs w:val="30"/>
        </w:rPr>
        <w:t>+直接送达”的延伸送达。</w:t>
      </w:r>
      <w:r w:rsidRPr="00E95A71">
        <w:rPr>
          <w:rFonts w:ascii="仿宋" w:eastAsia="仿宋" w:hAnsi="仿宋" w:hint="eastAsia"/>
          <w:color w:val="000000"/>
          <w:sz w:val="30"/>
          <w:szCs w:val="30"/>
        </w:rPr>
        <w:t>对邮寄不能送达且户籍为本地的当事人，则向区综治中心网格平台发出协助送达请求，勾选案号和当事人姓名后，系统自动回填身份证号、地址等信息。综治中心网格平台会将协助送达指令分配给对应的一级（镇、街道）网格，再由一级网格分中心分配给当事人所在的二级（村级）、三级网格。网格员通过“网格通”手机</w:t>
      </w:r>
      <w:r w:rsidRPr="00E95A71">
        <w:rPr>
          <w:rFonts w:ascii="仿宋" w:eastAsia="仿宋" w:hAnsi="仿宋"/>
          <w:color w:val="000000"/>
          <w:sz w:val="30"/>
          <w:szCs w:val="30"/>
        </w:rPr>
        <w:t>APP收到指令后进行调查，在24小时内将被送达人是否为辖区人员、现在何处、房屋有无拆迁、工作单位、联系电话或家庭其他人员联系方式等信息反馈至平台系统。法官直接通过电子卷宗获知网</w:t>
      </w:r>
      <w:r w:rsidRPr="00E95A71">
        <w:rPr>
          <w:rFonts w:ascii="仿宋" w:eastAsia="仿宋" w:hAnsi="仿宋"/>
          <w:color w:val="000000"/>
          <w:sz w:val="30"/>
          <w:szCs w:val="30"/>
        </w:rPr>
        <w:lastRenderedPageBreak/>
        <w:t>格协助调查反馈信息，对提供准确送达地址或电话等信息的，由服务外包人员配合书记员进行直接送达。</w:t>
      </w:r>
    </w:p>
    <w:p w:rsidR="00826359" w:rsidRPr="00E95A71" w:rsidRDefault="00826359" w:rsidP="0086182B">
      <w:pPr>
        <w:spacing w:line="560" w:lineRule="exact"/>
        <w:ind w:firstLineChars="200" w:firstLine="600"/>
        <w:rPr>
          <w:rFonts w:ascii="仿宋" w:eastAsia="仿宋" w:hAnsi="仿宋"/>
          <w:color w:val="000000"/>
          <w:sz w:val="30"/>
          <w:szCs w:val="30"/>
        </w:rPr>
      </w:pPr>
      <w:r w:rsidRPr="00E95A71">
        <w:rPr>
          <w:rFonts w:ascii="楷体" w:eastAsia="楷体" w:hAnsi="楷体" w:hint="eastAsia"/>
          <w:color w:val="000000"/>
          <w:sz w:val="30"/>
          <w:szCs w:val="30"/>
        </w:rPr>
        <w:t>第五步：“电子对接”的公告送达。</w:t>
      </w:r>
      <w:r w:rsidRPr="00E95A71">
        <w:rPr>
          <w:rFonts w:ascii="仿宋" w:eastAsia="仿宋" w:hAnsi="仿宋" w:hint="eastAsia"/>
          <w:color w:val="000000"/>
          <w:sz w:val="30"/>
          <w:szCs w:val="30"/>
        </w:rPr>
        <w:t>穷尽上述方法后仍无法送达的，运用与报社后台的网络对接，指令通过审核后，缴费二维码以短信形式发送至当事人手机，当事人可以通过支付宝、微信等方式线上缴费，快速开展公告送达。</w:t>
      </w:r>
    </w:p>
    <w:p w:rsidR="000954C8" w:rsidRPr="00E95A71" w:rsidRDefault="003539A4" w:rsidP="0086182B">
      <w:pPr>
        <w:rPr>
          <w:rStyle w:val="ad"/>
          <w:rFonts w:ascii="仿宋_GB2312" w:eastAsia="仿宋_GB2312"/>
          <w:sz w:val="30"/>
          <w:szCs w:val="30"/>
        </w:rPr>
      </w:pPr>
      <w:r w:rsidRPr="00E95A71">
        <w:rPr>
          <w:rFonts w:ascii="仿宋_GB2312" w:eastAsia="仿宋_GB2312" w:hAnsi="仿宋"/>
          <w:noProof/>
          <w:color w:val="000000"/>
          <w:sz w:val="30"/>
          <w:szCs w:val="30"/>
        </w:rPr>
        <w:drawing>
          <wp:inline distT="0" distB="0" distL="114300" distR="114300">
            <wp:extent cx="5276850" cy="2089150"/>
            <wp:effectExtent l="0" t="0" r="0" b="6350"/>
            <wp:docPr id="1" name="图片 1" descr="综合送达图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综合送达图表"/>
                    <pic:cNvPicPr>
                      <a:picLocks noChangeAspect="1"/>
                    </pic:cNvPicPr>
                  </pic:nvPicPr>
                  <pic:blipFill>
                    <a:blip r:embed="rId9"/>
                    <a:stretch>
                      <a:fillRect/>
                    </a:stretch>
                  </pic:blipFill>
                  <pic:spPr>
                    <a:xfrm>
                      <a:off x="0" y="0"/>
                      <a:ext cx="5276850" cy="2089150"/>
                    </a:xfrm>
                    <a:prstGeom prst="rect">
                      <a:avLst/>
                    </a:prstGeom>
                    <a:noFill/>
                    <a:ln>
                      <a:noFill/>
                    </a:ln>
                  </pic:spPr>
                </pic:pic>
              </a:graphicData>
            </a:graphic>
          </wp:inline>
        </w:drawing>
      </w:r>
    </w:p>
    <w:p w:rsidR="000954C8" w:rsidRPr="00E95A71" w:rsidRDefault="00826359" w:rsidP="0086182B">
      <w:pPr>
        <w:spacing w:line="560" w:lineRule="exact"/>
        <w:jc w:val="center"/>
        <w:rPr>
          <w:rStyle w:val="ad"/>
          <w:rFonts w:ascii="仿宋_GB2312" w:eastAsia="仿宋_GB2312"/>
          <w:sz w:val="30"/>
          <w:szCs w:val="30"/>
        </w:rPr>
      </w:pPr>
      <w:r w:rsidRPr="00E95A71">
        <w:rPr>
          <w:rStyle w:val="ad"/>
          <w:rFonts w:ascii="仿宋_GB2312" w:eastAsia="仿宋_GB2312" w:hint="eastAsia"/>
          <w:sz w:val="30"/>
          <w:szCs w:val="30"/>
        </w:rPr>
        <w:t>图1：相城法院“五步法”综合集约电子送达流程图</w:t>
      </w:r>
    </w:p>
    <w:p w:rsidR="00826359" w:rsidRPr="00E95A71" w:rsidRDefault="00826359" w:rsidP="00E95A71">
      <w:pPr>
        <w:spacing w:line="560" w:lineRule="exact"/>
        <w:ind w:firstLine="630"/>
        <w:rPr>
          <w:rFonts w:ascii="仿宋" w:eastAsia="仿宋" w:hAnsi="仿宋"/>
          <w:color w:val="000000"/>
          <w:sz w:val="30"/>
          <w:szCs w:val="30"/>
        </w:rPr>
      </w:pPr>
      <w:r w:rsidRPr="00E95A71">
        <w:rPr>
          <w:rFonts w:ascii="仿宋" w:eastAsia="仿宋" w:hAnsi="仿宋" w:hint="eastAsia"/>
          <w:color w:val="000000"/>
          <w:sz w:val="30"/>
          <w:szCs w:val="30"/>
        </w:rPr>
        <w:t>相城法院一站式</w:t>
      </w:r>
      <w:r w:rsidR="00375D07" w:rsidRPr="00E95A71">
        <w:rPr>
          <w:rFonts w:ascii="仿宋" w:eastAsia="仿宋" w:hAnsi="仿宋" w:hint="eastAsia"/>
          <w:color w:val="000000"/>
          <w:sz w:val="30"/>
          <w:szCs w:val="30"/>
        </w:rPr>
        <w:t>综合集约送达中心</w:t>
      </w:r>
      <w:r w:rsidRPr="00E95A71">
        <w:rPr>
          <w:rFonts w:ascii="仿宋" w:eastAsia="仿宋" w:hAnsi="仿宋" w:hint="eastAsia"/>
          <w:color w:val="000000"/>
          <w:sz w:val="30"/>
          <w:szCs w:val="30"/>
        </w:rPr>
        <w:t>成立一年以来，共计完成送达任务</w:t>
      </w:r>
      <w:r w:rsidRPr="00E95A71">
        <w:rPr>
          <w:rFonts w:ascii="仿宋" w:eastAsia="仿宋" w:hAnsi="仿宋"/>
          <w:color w:val="000000"/>
          <w:sz w:val="30"/>
          <w:szCs w:val="30"/>
        </w:rPr>
        <w:t>74247</w:t>
      </w:r>
      <w:r w:rsidRPr="00E95A71">
        <w:rPr>
          <w:rFonts w:ascii="仿宋" w:eastAsia="仿宋" w:hAnsi="仿宋" w:hint="eastAsia"/>
          <w:color w:val="000000"/>
          <w:sz w:val="30"/>
          <w:szCs w:val="30"/>
        </w:rPr>
        <w:t>件</w:t>
      </w:r>
      <w:r w:rsidR="00D719CB" w:rsidRPr="00E95A71">
        <w:rPr>
          <w:rFonts w:ascii="仿宋" w:eastAsia="仿宋" w:hAnsi="仿宋" w:hint="eastAsia"/>
          <w:color w:val="000000"/>
          <w:sz w:val="30"/>
          <w:szCs w:val="30"/>
        </w:rPr>
        <w:t>（见图2）</w:t>
      </w:r>
      <w:r w:rsidRPr="00E95A71">
        <w:rPr>
          <w:rFonts w:ascii="仿宋" w:eastAsia="仿宋" w:hAnsi="仿宋" w:hint="eastAsia"/>
          <w:color w:val="000000"/>
          <w:sz w:val="30"/>
          <w:szCs w:val="30"/>
        </w:rPr>
        <w:t>。其中，“电话</w:t>
      </w:r>
      <w:r w:rsidRPr="00E95A71">
        <w:rPr>
          <w:rFonts w:ascii="仿宋" w:eastAsia="仿宋" w:hAnsi="仿宋"/>
          <w:color w:val="000000"/>
          <w:sz w:val="30"/>
          <w:szCs w:val="30"/>
        </w:rPr>
        <w:t>+短信”的电子送达完成25675</w:t>
      </w:r>
      <w:r w:rsidRPr="00E95A71">
        <w:rPr>
          <w:rFonts w:ascii="仿宋" w:eastAsia="仿宋" w:hAnsi="仿宋" w:hint="eastAsia"/>
          <w:color w:val="000000"/>
          <w:sz w:val="30"/>
          <w:szCs w:val="30"/>
        </w:rPr>
        <w:t>件次、占比</w:t>
      </w:r>
      <w:r w:rsidRPr="00E95A71">
        <w:rPr>
          <w:rFonts w:ascii="仿宋" w:eastAsia="仿宋" w:hAnsi="仿宋"/>
          <w:color w:val="000000"/>
          <w:sz w:val="30"/>
          <w:szCs w:val="30"/>
        </w:rPr>
        <w:t>34.58%</w:t>
      </w:r>
      <w:r w:rsidRPr="00E95A71">
        <w:rPr>
          <w:rFonts w:ascii="仿宋" w:eastAsia="仿宋" w:hAnsi="仿宋" w:hint="eastAsia"/>
          <w:color w:val="000000"/>
          <w:sz w:val="30"/>
          <w:szCs w:val="30"/>
        </w:rPr>
        <w:t>，“律师平台</w:t>
      </w:r>
      <w:r w:rsidRPr="00E95A71">
        <w:rPr>
          <w:rFonts w:ascii="仿宋" w:eastAsia="仿宋" w:hAnsi="仿宋"/>
          <w:color w:val="000000"/>
          <w:sz w:val="30"/>
          <w:szCs w:val="30"/>
        </w:rPr>
        <w:t>+手机端”的云端送达完成632</w:t>
      </w:r>
      <w:r w:rsidRPr="00E95A71">
        <w:rPr>
          <w:rFonts w:ascii="仿宋" w:eastAsia="仿宋" w:hAnsi="仿宋" w:hint="eastAsia"/>
          <w:color w:val="000000"/>
          <w:sz w:val="30"/>
          <w:szCs w:val="30"/>
        </w:rPr>
        <w:t>件次、占比</w:t>
      </w:r>
      <w:r w:rsidRPr="00E95A71">
        <w:rPr>
          <w:rFonts w:ascii="仿宋" w:eastAsia="仿宋" w:hAnsi="仿宋"/>
          <w:color w:val="000000"/>
          <w:sz w:val="30"/>
          <w:szCs w:val="30"/>
        </w:rPr>
        <w:t>0.85%</w:t>
      </w:r>
      <w:r w:rsidRPr="00E95A71">
        <w:rPr>
          <w:rFonts w:ascii="仿宋" w:eastAsia="仿宋" w:hAnsi="仿宋" w:hint="eastAsia"/>
          <w:color w:val="000000"/>
          <w:sz w:val="30"/>
          <w:szCs w:val="30"/>
        </w:rPr>
        <w:t>，“集中文印</w:t>
      </w:r>
      <w:r w:rsidRPr="00E95A71">
        <w:rPr>
          <w:rFonts w:ascii="仿宋" w:eastAsia="仿宋" w:hAnsi="仿宋"/>
          <w:color w:val="000000"/>
          <w:sz w:val="30"/>
          <w:szCs w:val="30"/>
        </w:rPr>
        <w:t>+邮寄”</w:t>
      </w:r>
      <w:r w:rsidRPr="00E95A71">
        <w:rPr>
          <w:rFonts w:ascii="仿宋" w:eastAsia="仿宋" w:hAnsi="仿宋" w:hint="eastAsia"/>
          <w:color w:val="000000"/>
          <w:sz w:val="30"/>
          <w:szCs w:val="30"/>
        </w:rPr>
        <w:t>的传统送达完成</w:t>
      </w:r>
      <w:r w:rsidRPr="00E95A71">
        <w:rPr>
          <w:rFonts w:ascii="仿宋" w:eastAsia="仿宋" w:hAnsi="仿宋"/>
          <w:color w:val="000000"/>
          <w:sz w:val="30"/>
          <w:szCs w:val="30"/>
        </w:rPr>
        <w:t>45741</w:t>
      </w:r>
      <w:r w:rsidRPr="00E95A71">
        <w:rPr>
          <w:rFonts w:ascii="仿宋" w:eastAsia="仿宋" w:hAnsi="仿宋" w:hint="eastAsia"/>
          <w:color w:val="000000"/>
          <w:sz w:val="30"/>
          <w:szCs w:val="30"/>
        </w:rPr>
        <w:t>件次、占比</w:t>
      </w:r>
      <w:r w:rsidRPr="00E95A71">
        <w:rPr>
          <w:rFonts w:ascii="仿宋" w:eastAsia="仿宋" w:hAnsi="仿宋"/>
          <w:color w:val="000000"/>
          <w:sz w:val="30"/>
          <w:szCs w:val="30"/>
        </w:rPr>
        <w:t>61.61%</w:t>
      </w:r>
      <w:r w:rsidRPr="00E95A71">
        <w:rPr>
          <w:rFonts w:ascii="仿宋" w:eastAsia="仿宋" w:hAnsi="仿宋" w:hint="eastAsia"/>
          <w:color w:val="000000"/>
          <w:sz w:val="30"/>
          <w:szCs w:val="30"/>
        </w:rPr>
        <w:t>，“网格协查</w:t>
      </w:r>
      <w:r w:rsidRPr="00E95A71">
        <w:rPr>
          <w:rFonts w:ascii="仿宋" w:eastAsia="仿宋" w:hAnsi="仿宋"/>
          <w:color w:val="000000"/>
          <w:sz w:val="30"/>
          <w:szCs w:val="30"/>
        </w:rPr>
        <w:t>+直接送达”的延伸送达完成2111</w:t>
      </w:r>
      <w:r w:rsidRPr="00E95A71">
        <w:rPr>
          <w:rFonts w:ascii="仿宋" w:eastAsia="仿宋" w:hAnsi="仿宋" w:hint="eastAsia"/>
          <w:color w:val="000000"/>
          <w:sz w:val="30"/>
          <w:szCs w:val="30"/>
        </w:rPr>
        <w:t>件次、占比</w:t>
      </w:r>
      <w:r w:rsidRPr="00E95A71">
        <w:rPr>
          <w:rFonts w:ascii="仿宋" w:eastAsia="仿宋" w:hAnsi="仿宋"/>
          <w:color w:val="000000"/>
          <w:sz w:val="30"/>
          <w:szCs w:val="30"/>
        </w:rPr>
        <w:t>2.84%</w:t>
      </w:r>
      <w:r w:rsidRPr="00E95A71">
        <w:rPr>
          <w:rFonts w:ascii="仿宋" w:eastAsia="仿宋" w:hAnsi="仿宋" w:hint="eastAsia"/>
          <w:color w:val="000000"/>
          <w:sz w:val="30"/>
          <w:szCs w:val="30"/>
        </w:rPr>
        <w:t>，“电子对接”的公告送达完成</w:t>
      </w:r>
      <w:r w:rsidRPr="00E95A71">
        <w:rPr>
          <w:rFonts w:ascii="仿宋" w:eastAsia="仿宋" w:hAnsi="仿宋"/>
          <w:color w:val="000000"/>
          <w:sz w:val="30"/>
          <w:szCs w:val="30"/>
        </w:rPr>
        <w:t>88</w:t>
      </w:r>
      <w:r w:rsidRPr="00E95A71">
        <w:rPr>
          <w:rFonts w:ascii="仿宋" w:eastAsia="仿宋" w:hAnsi="仿宋" w:hint="eastAsia"/>
          <w:color w:val="000000"/>
          <w:sz w:val="30"/>
          <w:szCs w:val="30"/>
        </w:rPr>
        <w:t>件次、占比</w:t>
      </w:r>
      <w:r w:rsidRPr="00E95A71">
        <w:rPr>
          <w:rFonts w:ascii="仿宋" w:eastAsia="仿宋" w:hAnsi="仿宋"/>
          <w:color w:val="000000"/>
          <w:sz w:val="30"/>
          <w:szCs w:val="30"/>
        </w:rPr>
        <w:t>0.12%</w:t>
      </w:r>
      <w:r w:rsidR="00D719CB" w:rsidRPr="00E95A71">
        <w:rPr>
          <w:rFonts w:ascii="仿宋" w:eastAsia="仿宋" w:hAnsi="仿宋" w:hint="eastAsia"/>
          <w:color w:val="000000"/>
          <w:sz w:val="30"/>
          <w:szCs w:val="30"/>
        </w:rPr>
        <w:t>（见图3）</w:t>
      </w:r>
      <w:r w:rsidRPr="00E95A71">
        <w:rPr>
          <w:rFonts w:ascii="仿宋" w:eastAsia="仿宋" w:hAnsi="仿宋" w:hint="eastAsia"/>
          <w:color w:val="000000"/>
          <w:sz w:val="30"/>
          <w:szCs w:val="30"/>
        </w:rPr>
        <w:t>。</w:t>
      </w:r>
    </w:p>
    <w:p w:rsidR="000954C8" w:rsidRPr="00E95A71" w:rsidRDefault="000954C8" w:rsidP="0086182B">
      <w:pPr>
        <w:ind w:firstLine="645"/>
        <w:rPr>
          <w:rFonts w:ascii="仿宋_GB2312" w:eastAsia="仿宋_GB2312" w:hAnsi="楷体"/>
          <w:color w:val="000000"/>
          <w:sz w:val="30"/>
          <w:szCs w:val="30"/>
        </w:rPr>
      </w:pPr>
    </w:p>
    <w:p w:rsidR="000954C8" w:rsidRPr="00E95A71" w:rsidRDefault="00BE7DDB" w:rsidP="0086182B">
      <w:pPr>
        <w:ind w:firstLine="645"/>
        <w:rPr>
          <w:rFonts w:ascii="仿宋_GB2312" w:eastAsia="仿宋_GB2312" w:hAnsi="楷体"/>
          <w:color w:val="000000"/>
          <w:sz w:val="30"/>
          <w:szCs w:val="30"/>
        </w:rPr>
      </w:pPr>
      <w:r w:rsidRPr="00E95A71">
        <w:rPr>
          <w:rFonts w:ascii="仿宋_GB2312" w:eastAsia="仿宋_GB2312" w:hAnsi="楷体"/>
          <w:noProof/>
          <w:color w:val="000000"/>
          <w:sz w:val="30"/>
          <w:szCs w:val="30"/>
        </w:rPr>
        <w:lastRenderedPageBreak/>
        <w:drawing>
          <wp:inline distT="0" distB="0" distL="0" distR="0">
            <wp:extent cx="4572000" cy="2743200"/>
            <wp:effectExtent l="19050" t="0" r="19050" b="0"/>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45B8" w:rsidRPr="00E95A71" w:rsidRDefault="00826359" w:rsidP="0086182B">
      <w:pPr>
        <w:jc w:val="center"/>
        <w:rPr>
          <w:rFonts w:ascii="仿宋_GB2312" w:eastAsia="仿宋_GB2312" w:hAnsi="楷体"/>
          <w:color w:val="000000"/>
          <w:sz w:val="30"/>
          <w:szCs w:val="30"/>
        </w:rPr>
      </w:pPr>
      <w:r w:rsidRPr="00E95A71">
        <w:rPr>
          <w:rStyle w:val="ad"/>
          <w:rFonts w:ascii="仿宋_GB2312" w:eastAsia="仿宋_GB2312" w:hint="eastAsia"/>
          <w:sz w:val="30"/>
          <w:szCs w:val="30"/>
        </w:rPr>
        <w:t>图2：相城法院一站式综合送达数据图</w:t>
      </w:r>
    </w:p>
    <w:p w:rsidR="000954C8" w:rsidRPr="00E95A71" w:rsidRDefault="003539A4" w:rsidP="0086182B">
      <w:pPr>
        <w:ind w:firstLine="645"/>
        <w:rPr>
          <w:rFonts w:ascii="仿宋_GB2312" w:eastAsia="仿宋_GB2312" w:hAnsi="仿宋"/>
          <w:color w:val="000000"/>
          <w:sz w:val="30"/>
          <w:szCs w:val="30"/>
        </w:rPr>
      </w:pPr>
      <w:r w:rsidRPr="00E95A71">
        <w:rPr>
          <w:rFonts w:ascii="仿宋_GB2312" w:eastAsia="仿宋_GB2312" w:hAnsi="仿宋"/>
          <w:noProof/>
          <w:color w:val="000000"/>
          <w:sz w:val="30"/>
          <w:szCs w:val="30"/>
        </w:rPr>
        <w:drawing>
          <wp:inline distT="0" distB="0" distL="0" distR="0">
            <wp:extent cx="4572000" cy="2743200"/>
            <wp:effectExtent l="19050" t="0" r="19050" b="0"/>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67724" w:rsidRPr="00E95A71" w:rsidRDefault="00667724" w:rsidP="0086182B">
      <w:pPr>
        <w:jc w:val="center"/>
        <w:rPr>
          <w:rStyle w:val="ad"/>
          <w:rFonts w:ascii="仿宋_GB2312" w:eastAsia="仿宋_GB2312"/>
          <w:sz w:val="30"/>
          <w:szCs w:val="30"/>
        </w:rPr>
      </w:pPr>
    </w:p>
    <w:p w:rsidR="00530A28" w:rsidRPr="00E95A71" w:rsidRDefault="00826359" w:rsidP="0086182B">
      <w:pPr>
        <w:jc w:val="center"/>
        <w:rPr>
          <w:rStyle w:val="ad"/>
          <w:rFonts w:ascii="仿宋_GB2312" w:eastAsia="仿宋_GB2312"/>
          <w:sz w:val="30"/>
          <w:szCs w:val="30"/>
        </w:rPr>
      </w:pPr>
      <w:bookmarkStart w:id="0" w:name="_GoBack"/>
      <w:bookmarkEnd w:id="0"/>
      <w:r w:rsidRPr="00E95A71">
        <w:rPr>
          <w:rStyle w:val="ad"/>
          <w:rFonts w:ascii="仿宋_GB2312" w:eastAsia="仿宋_GB2312" w:hint="eastAsia"/>
          <w:sz w:val="30"/>
          <w:szCs w:val="30"/>
        </w:rPr>
        <w:t>图3：相城法院一站式综合送达类别占比图</w:t>
      </w:r>
    </w:p>
    <w:p w:rsidR="00826359" w:rsidRPr="00E95A71" w:rsidRDefault="00826359" w:rsidP="0086182B">
      <w:pPr>
        <w:spacing w:line="560" w:lineRule="exact"/>
        <w:ind w:firstLine="630"/>
        <w:rPr>
          <w:rFonts w:ascii="仿宋_GB2312" w:eastAsia="仿宋_GB2312" w:hAnsi="楷体" w:cs="楷体"/>
          <w:b/>
          <w:bCs/>
          <w:color w:val="000000"/>
          <w:sz w:val="30"/>
          <w:szCs w:val="30"/>
        </w:rPr>
      </w:pPr>
      <w:r w:rsidRPr="00E95A71">
        <w:rPr>
          <w:rFonts w:ascii="楷体" w:eastAsia="楷体" w:hAnsi="楷体" w:cs="楷体" w:hint="eastAsia"/>
          <w:b/>
          <w:bCs/>
          <w:color w:val="000000"/>
          <w:sz w:val="30"/>
          <w:szCs w:val="30"/>
        </w:rPr>
        <w:t>（二）综合集约电子送达机制运行成效</w:t>
      </w:r>
    </w:p>
    <w:p w:rsidR="00826359" w:rsidRPr="007A5C5D" w:rsidRDefault="00826359" w:rsidP="0086182B">
      <w:pPr>
        <w:spacing w:line="560" w:lineRule="exact"/>
        <w:ind w:firstLine="630"/>
        <w:rPr>
          <w:rFonts w:ascii="仿宋" w:eastAsia="仿宋" w:hAnsi="仿宋"/>
          <w:b/>
          <w:bCs/>
          <w:color w:val="000000"/>
          <w:sz w:val="30"/>
          <w:szCs w:val="30"/>
        </w:rPr>
      </w:pPr>
      <w:r w:rsidRPr="007A5C5D">
        <w:rPr>
          <w:rFonts w:ascii="仿宋" w:eastAsia="仿宋" w:hAnsi="仿宋"/>
          <w:b/>
          <w:bCs/>
          <w:color w:val="000000"/>
          <w:sz w:val="30"/>
          <w:szCs w:val="30"/>
        </w:rPr>
        <w:t>1.送达效率大幅提升</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仿宋" w:eastAsia="仿宋" w:hAnsi="仿宋" w:hint="eastAsia"/>
          <w:color w:val="000000"/>
          <w:sz w:val="30"/>
          <w:szCs w:val="30"/>
        </w:rPr>
        <w:t>从送达周期看，如果通过邮寄方式送达，从邮件寄出到当事人签收，再到签收信息反馈至法院，至少需要一周的时间。而电子送达的即时性，略去了邮寄送达中的面单填写及书面诉讼材料</w:t>
      </w:r>
      <w:r w:rsidRPr="00E95A71">
        <w:rPr>
          <w:rFonts w:ascii="仿宋" w:eastAsia="仿宋" w:hAnsi="仿宋" w:hint="eastAsia"/>
          <w:color w:val="000000"/>
          <w:sz w:val="30"/>
          <w:szCs w:val="30"/>
        </w:rPr>
        <w:lastRenderedPageBreak/>
        <w:t>整理等过程，节省了诉讼材料的在途时间，缩短了庭审周期。从到庭率看，公告送达不仅耗时长，且当事人到庭率低。综合送达通过穷尽前述四种方式，大幅降低了公告率，使案件到庭率明显提升。</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仿宋" w:eastAsia="仿宋" w:hAnsi="仿宋" w:hint="eastAsia"/>
          <w:color w:val="000000"/>
          <w:sz w:val="30"/>
          <w:szCs w:val="30"/>
        </w:rPr>
        <w:t>自</w:t>
      </w:r>
      <w:r w:rsidRPr="00E95A71">
        <w:rPr>
          <w:rFonts w:ascii="仿宋" w:eastAsia="仿宋" w:hAnsi="仿宋"/>
          <w:color w:val="000000"/>
          <w:sz w:val="30"/>
          <w:szCs w:val="30"/>
        </w:rPr>
        <w:t>2019年7月至2020年6月</w:t>
      </w:r>
      <w:r w:rsidRPr="00E95A71">
        <w:rPr>
          <w:rFonts w:ascii="仿宋" w:eastAsia="仿宋" w:hAnsi="仿宋" w:hint="eastAsia"/>
          <w:color w:val="000000"/>
          <w:sz w:val="30"/>
          <w:szCs w:val="30"/>
        </w:rPr>
        <w:t>，相城法院</w:t>
      </w:r>
      <w:r w:rsidR="006407A6" w:rsidRPr="00E95A71">
        <w:rPr>
          <w:rFonts w:ascii="仿宋" w:eastAsia="仿宋" w:hAnsi="仿宋" w:hint="eastAsia"/>
          <w:color w:val="000000"/>
          <w:sz w:val="30"/>
          <w:szCs w:val="30"/>
        </w:rPr>
        <w:t>综合集约电子送达中心</w:t>
      </w:r>
      <w:r w:rsidRPr="00E95A71">
        <w:rPr>
          <w:rFonts w:ascii="仿宋" w:eastAsia="仿宋" w:hAnsi="仿宋" w:hint="eastAsia"/>
          <w:color w:val="000000"/>
          <w:sz w:val="30"/>
          <w:szCs w:val="30"/>
        </w:rPr>
        <w:t>共</w:t>
      </w:r>
      <w:r w:rsidR="006407A6" w:rsidRPr="00E95A71">
        <w:rPr>
          <w:rFonts w:ascii="仿宋" w:eastAsia="仿宋" w:hAnsi="仿宋" w:hint="eastAsia"/>
          <w:color w:val="000000"/>
          <w:sz w:val="30"/>
          <w:szCs w:val="30"/>
        </w:rPr>
        <w:t>完成</w:t>
      </w:r>
      <w:r w:rsidRPr="00E95A71">
        <w:rPr>
          <w:rFonts w:ascii="仿宋" w:eastAsia="仿宋" w:hAnsi="仿宋" w:hint="eastAsia"/>
          <w:color w:val="000000"/>
          <w:sz w:val="30"/>
          <w:szCs w:val="30"/>
        </w:rPr>
        <w:t>综合送达</w:t>
      </w:r>
      <w:r w:rsidRPr="00E95A71">
        <w:rPr>
          <w:rFonts w:ascii="仿宋" w:eastAsia="仿宋" w:hAnsi="仿宋"/>
          <w:color w:val="000000"/>
          <w:sz w:val="30"/>
          <w:szCs w:val="30"/>
        </w:rPr>
        <w:t>74247</w:t>
      </w:r>
      <w:r w:rsidRPr="00E95A71">
        <w:rPr>
          <w:rFonts w:ascii="仿宋" w:eastAsia="仿宋" w:hAnsi="仿宋" w:hint="eastAsia"/>
          <w:color w:val="000000"/>
          <w:sz w:val="30"/>
          <w:szCs w:val="30"/>
        </w:rPr>
        <w:t>次，案件平均送达时间缩短</w:t>
      </w:r>
      <w:r w:rsidRPr="00E95A71">
        <w:rPr>
          <w:rFonts w:ascii="仿宋" w:eastAsia="仿宋" w:hAnsi="仿宋"/>
          <w:color w:val="000000"/>
          <w:sz w:val="30"/>
          <w:szCs w:val="30"/>
        </w:rPr>
        <w:t>77.3%，其中最快的送达3分钟完成，当事人到庭应诉率同比上升7.86%</w:t>
      </w:r>
      <w:r w:rsidRPr="00E95A71">
        <w:rPr>
          <w:rFonts w:ascii="仿宋" w:eastAsia="仿宋" w:hAnsi="仿宋" w:hint="eastAsia"/>
          <w:color w:val="000000"/>
          <w:sz w:val="30"/>
          <w:szCs w:val="30"/>
        </w:rPr>
        <w:t>，适用公告送达率同比下降</w:t>
      </w:r>
      <w:r w:rsidRPr="00E95A71">
        <w:rPr>
          <w:rFonts w:ascii="仿宋" w:eastAsia="仿宋" w:hAnsi="仿宋"/>
          <w:color w:val="000000"/>
          <w:sz w:val="30"/>
          <w:szCs w:val="30"/>
        </w:rPr>
        <w:t>25.44%</w:t>
      </w:r>
      <w:r w:rsidRPr="00E95A71">
        <w:rPr>
          <w:rFonts w:ascii="仿宋" w:eastAsia="仿宋" w:hAnsi="仿宋" w:hint="eastAsia"/>
          <w:color w:val="000000"/>
          <w:sz w:val="30"/>
          <w:szCs w:val="30"/>
        </w:rPr>
        <w:t>。相关工作经验被《最高人民法院简报》采用，并被</w:t>
      </w:r>
      <w:r w:rsidR="00375D07" w:rsidRPr="00E95A71">
        <w:rPr>
          <w:rFonts w:ascii="仿宋" w:eastAsia="仿宋" w:hAnsi="仿宋" w:hint="eastAsia"/>
          <w:color w:val="000000"/>
          <w:sz w:val="30"/>
          <w:szCs w:val="30"/>
        </w:rPr>
        <w:t>江苏</w:t>
      </w:r>
      <w:r w:rsidRPr="00E95A71">
        <w:rPr>
          <w:rFonts w:ascii="仿宋" w:eastAsia="仿宋" w:hAnsi="仿宋" w:hint="eastAsia"/>
          <w:color w:val="000000"/>
          <w:sz w:val="30"/>
          <w:szCs w:val="30"/>
        </w:rPr>
        <w:t>省高院现场会予以推广。</w:t>
      </w:r>
    </w:p>
    <w:p w:rsidR="00826359" w:rsidRPr="007A5C5D" w:rsidRDefault="00826359" w:rsidP="0086182B">
      <w:pPr>
        <w:spacing w:line="560" w:lineRule="exact"/>
        <w:ind w:firstLine="630"/>
        <w:rPr>
          <w:rFonts w:ascii="仿宋" w:eastAsia="仿宋" w:hAnsi="仿宋"/>
          <w:b/>
          <w:bCs/>
          <w:color w:val="000000"/>
          <w:sz w:val="30"/>
          <w:szCs w:val="30"/>
        </w:rPr>
      </w:pPr>
      <w:r w:rsidRPr="007A5C5D">
        <w:rPr>
          <w:rFonts w:ascii="仿宋" w:eastAsia="仿宋" w:hAnsi="仿宋"/>
          <w:b/>
          <w:bCs/>
          <w:color w:val="000000"/>
          <w:sz w:val="30"/>
          <w:szCs w:val="30"/>
        </w:rPr>
        <w:t>2.诉讼成本明显下降</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仿宋" w:eastAsia="仿宋" w:hAnsi="仿宋" w:hint="eastAsia"/>
          <w:color w:val="000000"/>
          <w:sz w:val="30"/>
          <w:szCs w:val="30"/>
        </w:rPr>
        <w:t>诉讼成本是指诉讼主体在实施诉讼行为的过程中所消耗的人力、物力、财力的总和，包括当事人的诉讼成本和审判机关的诉讼成本。对当事人来说，在新的送达模式下，其不需要为了收取传票、起诉状等诉讼文书而专程来法院，可以通过电子信息载体快速及时获取诉讼信息，</w:t>
      </w:r>
      <w:r w:rsidR="00375D07" w:rsidRPr="00E95A71">
        <w:rPr>
          <w:rFonts w:ascii="仿宋" w:eastAsia="仿宋" w:hAnsi="仿宋" w:hint="eastAsia"/>
          <w:color w:val="000000"/>
          <w:sz w:val="30"/>
          <w:szCs w:val="30"/>
        </w:rPr>
        <w:t>节约了当事人的</w:t>
      </w:r>
      <w:r w:rsidRPr="00E95A71">
        <w:rPr>
          <w:rFonts w:ascii="仿宋" w:eastAsia="仿宋" w:hAnsi="仿宋" w:hint="eastAsia"/>
          <w:color w:val="000000"/>
          <w:sz w:val="30"/>
          <w:szCs w:val="30"/>
        </w:rPr>
        <w:t>时间成本。对法院来说，综合集约送达剥离了法官和审判服务人员事务性工作，保证专司审判；实现了送达工作的全院统筹安排，避免了重复劳动。</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仿宋" w:eastAsia="仿宋" w:hAnsi="仿宋" w:hint="eastAsia"/>
          <w:color w:val="000000"/>
          <w:sz w:val="30"/>
          <w:szCs w:val="30"/>
        </w:rPr>
        <w:t>送达系统应用强化了智能支持和分工协作，有助于提升送达效率，缓解人案矛盾。以前的送达工作需要书记员手动制作传票、应诉通知书、举证通知书等十余种文书并打印、去文印室盖章、分拣装订、拿刷子涂胶水、再手写面单地址、送交邮寄。而在</w:t>
      </w:r>
      <w:r w:rsidR="00375D07" w:rsidRPr="00E95A71">
        <w:rPr>
          <w:rFonts w:ascii="仿宋" w:eastAsia="仿宋" w:hAnsi="仿宋" w:hint="eastAsia"/>
          <w:color w:val="000000"/>
          <w:sz w:val="30"/>
          <w:szCs w:val="30"/>
        </w:rPr>
        <w:t>智能</w:t>
      </w:r>
      <w:r w:rsidRPr="00E95A71">
        <w:rPr>
          <w:rFonts w:ascii="仿宋" w:eastAsia="仿宋" w:hAnsi="仿宋" w:hint="eastAsia"/>
          <w:color w:val="000000"/>
          <w:sz w:val="30"/>
          <w:szCs w:val="30"/>
        </w:rPr>
        <w:t>化、无纸化、</w:t>
      </w:r>
      <w:r w:rsidR="00375D07" w:rsidRPr="00E95A71">
        <w:rPr>
          <w:rFonts w:ascii="仿宋" w:eastAsia="仿宋" w:hAnsi="仿宋" w:hint="eastAsia"/>
          <w:color w:val="000000"/>
          <w:sz w:val="30"/>
          <w:szCs w:val="30"/>
        </w:rPr>
        <w:t>集约</w:t>
      </w:r>
      <w:r w:rsidRPr="00E95A71">
        <w:rPr>
          <w:rFonts w:ascii="仿宋" w:eastAsia="仿宋" w:hAnsi="仿宋" w:hint="eastAsia"/>
          <w:color w:val="000000"/>
          <w:sz w:val="30"/>
          <w:szCs w:val="30"/>
        </w:rPr>
        <w:t>化的电子送达模式下，与原先手动填写面单寄送</w:t>
      </w:r>
      <w:r w:rsidRPr="00E95A71">
        <w:rPr>
          <w:rFonts w:ascii="仿宋" w:eastAsia="仿宋" w:hAnsi="仿宋"/>
          <w:color w:val="000000"/>
          <w:sz w:val="30"/>
          <w:szCs w:val="30"/>
        </w:rPr>
        <w:t>EMS相比，书记员工作量减少约20%。另一方面，电子送达明显降低了法院文印、耗材、邮寄费用成本，从经费成本上来说，</w:t>
      </w:r>
      <w:r w:rsidRPr="00E95A71">
        <w:rPr>
          <w:rFonts w:ascii="仿宋" w:eastAsia="仿宋" w:hAnsi="仿宋"/>
          <w:color w:val="000000"/>
          <w:sz w:val="30"/>
          <w:szCs w:val="30"/>
        </w:rPr>
        <w:lastRenderedPageBreak/>
        <w:t>EMS邮寄数量减少30%以上，</w:t>
      </w:r>
      <w:r w:rsidRPr="00E95A71">
        <w:rPr>
          <w:rFonts w:ascii="仿宋" w:eastAsia="仿宋" w:hAnsi="仿宋" w:hint="eastAsia"/>
          <w:color w:val="000000"/>
          <w:sz w:val="30"/>
          <w:szCs w:val="30"/>
        </w:rPr>
        <w:t>文印纸张减少</w:t>
      </w:r>
      <w:r w:rsidRPr="00E95A71">
        <w:rPr>
          <w:rFonts w:ascii="仿宋" w:eastAsia="仿宋" w:hAnsi="仿宋"/>
          <w:color w:val="000000"/>
          <w:sz w:val="30"/>
          <w:szCs w:val="30"/>
        </w:rPr>
        <w:t>25%以上，每月约节</w:t>
      </w:r>
      <w:r w:rsidR="00274910" w:rsidRPr="00E95A71">
        <w:rPr>
          <w:rFonts w:ascii="仿宋" w:eastAsia="仿宋" w:hAnsi="仿宋" w:hint="eastAsia"/>
          <w:color w:val="000000"/>
          <w:sz w:val="30"/>
          <w:szCs w:val="30"/>
        </w:rPr>
        <w:t>省</w:t>
      </w:r>
      <w:r w:rsidRPr="00E95A71">
        <w:rPr>
          <w:rFonts w:ascii="仿宋" w:eastAsia="仿宋" w:hAnsi="仿宋"/>
          <w:color w:val="000000"/>
          <w:sz w:val="30"/>
          <w:szCs w:val="30"/>
        </w:rPr>
        <w:t>办公经费</w:t>
      </w:r>
      <w:r w:rsidR="008D0D1A" w:rsidRPr="00E95A71">
        <w:rPr>
          <w:rFonts w:ascii="仿宋" w:eastAsia="仿宋" w:hAnsi="仿宋" w:hint="eastAsia"/>
          <w:color w:val="000000"/>
          <w:sz w:val="30"/>
          <w:szCs w:val="30"/>
        </w:rPr>
        <w:t>10余</w:t>
      </w:r>
      <w:r w:rsidRPr="00E95A71">
        <w:rPr>
          <w:rFonts w:ascii="仿宋" w:eastAsia="仿宋" w:hAnsi="仿宋" w:hint="eastAsia"/>
          <w:color w:val="000000"/>
          <w:sz w:val="30"/>
          <w:szCs w:val="30"/>
        </w:rPr>
        <w:t>万元。</w:t>
      </w:r>
    </w:p>
    <w:p w:rsidR="00826359" w:rsidRPr="007A5C5D" w:rsidRDefault="00826359" w:rsidP="0086182B">
      <w:pPr>
        <w:spacing w:line="560" w:lineRule="exact"/>
        <w:ind w:firstLine="630"/>
        <w:rPr>
          <w:rFonts w:ascii="仿宋" w:eastAsia="仿宋" w:hAnsi="仿宋"/>
          <w:b/>
          <w:bCs/>
          <w:color w:val="000000"/>
          <w:sz w:val="30"/>
          <w:szCs w:val="30"/>
        </w:rPr>
      </w:pPr>
      <w:r w:rsidRPr="007A5C5D">
        <w:rPr>
          <w:rFonts w:ascii="仿宋" w:eastAsia="仿宋" w:hAnsi="仿宋"/>
          <w:b/>
          <w:bCs/>
          <w:color w:val="000000"/>
          <w:sz w:val="30"/>
          <w:szCs w:val="30"/>
        </w:rPr>
        <w:t>3.审判质效有效提升</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仿宋" w:eastAsia="仿宋" w:hAnsi="仿宋" w:hint="eastAsia"/>
          <w:color w:val="000000"/>
          <w:sz w:val="30"/>
          <w:szCs w:val="30"/>
        </w:rPr>
        <w:t>相城法院通过推广及不断完善电子送达，强化规范管理，有效减少恶意规避送达现象，充分保障各方当事人诉讼权利；有效压降公告案件数量，节约了当事人诉讼时间和成本；切切实实解决“送达难”这一顽疾，让法官专注于“审”与“判”，努力为人民群众提供更多高质量司法服务。同时，综合送达有力减少了部分被告恶意规避送达现象，有效压降了公告案件数量，有力地保障了未规避的被告人参与诉讼的权利，减少了缺席审理后上诉、信访等现象，提升了群众对法院工作的满意度。</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仿宋" w:eastAsia="仿宋" w:hAnsi="仿宋"/>
          <w:color w:val="000000"/>
          <w:sz w:val="30"/>
          <w:szCs w:val="30"/>
        </w:rPr>
        <w:t>2019年相城法院结收案比103.89%，位列全市法院第一。法定正常审限内结案率同比大幅上升14.67个百分点；案件平均审理天数同比减少37.29天；员额法官人均结案485.84件，同比上升13.70%</w:t>
      </w:r>
      <w:r w:rsidRPr="00E95A71">
        <w:rPr>
          <w:rFonts w:ascii="仿宋" w:eastAsia="仿宋" w:hAnsi="仿宋" w:hint="eastAsia"/>
          <w:color w:val="000000"/>
          <w:sz w:val="30"/>
          <w:szCs w:val="30"/>
        </w:rPr>
        <w:t>。</w:t>
      </w:r>
    </w:p>
    <w:p w:rsidR="00826359" w:rsidRPr="00E95A71" w:rsidRDefault="00826359" w:rsidP="0086182B">
      <w:pPr>
        <w:spacing w:line="560" w:lineRule="exact"/>
        <w:ind w:firstLine="630"/>
        <w:rPr>
          <w:rFonts w:ascii="黑体" w:eastAsia="黑体" w:hAnsi="黑体" w:cs="黑体"/>
          <w:bCs/>
          <w:color w:val="000000"/>
          <w:sz w:val="30"/>
          <w:szCs w:val="30"/>
        </w:rPr>
      </w:pPr>
      <w:r w:rsidRPr="00E95A71">
        <w:rPr>
          <w:rFonts w:ascii="黑体" w:eastAsia="黑体" w:hAnsi="黑体" w:cs="黑体" w:hint="eastAsia"/>
          <w:bCs/>
          <w:color w:val="000000"/>
          <w:sz w:val="30"/>
          <w:szCs w:val="30"/>
        </w:rPr>
        <w:t>三、当前电子送达工作困难与不足</w:t>
      </w:r>
    </w:p>
    <w:p w:rsidR="00826359" w:rsidRPr="00E95A71" w:rsidRDefault="00826359" w:rsidP="0086182B">
      <w:pPr>
        <w:spacing w:line="560" w:lineRule="exact"/>
        <w:ind w:firstLine="630"/>
        <w:rPr>
          <w:rFonts w:ascii="楷体" w:eastAsia="楷体" w:hAnsi="楷体" w:cs="楷体"/>
          <w:b/>
          <w:bCs/>
          <w:color w:val="000000"/>
          <w:sz w:val="30"/>
          <w:szCs w:val="30"/>
        </w:rPr>
      </w:pPr>
      <w:r w:rsidRPr="00E95A71">
        <w:rPr>
          <w:rFonts w:ascii="楷体" w:eastAsia="楷体" w:hAnsi="楷体" w:cs="楷体" w:hint="eastAsia"/>
          <w:b/>
          <w:bCs/>
          <w:color w:val="000000"/>
          <w:sz w:val="30"/>
          <w:szCs w:val="30"/>
        </w:rPr>
        <w:t>（一）征询受送达人同意方法亟待完善</w:t>
      </w:r>
    </w:p>
    <w:p w:rsidR="00826359" w:rsidRPr="00E95A71" w:rsidRDefault="00826359" w:rsidP="0086182B">
      <w:pPr>
        <w:spacing w:line="560" w:lineRule="exact"/>
        <w:ind w:firstLine="630"/>
        <w:rPr>
          <w:rFonts w:ascii="仿宋" w:eastAsia="仿宋" w:hAnsi="仿宋"/>
          <w:color w:val="000000"/>
          <w:sz w:val="30"/>
          <w:szCs w:val="30"/>
        </w:rPr>
      </w:pPr>
      <w:r w:rsidRPr="007A5C5D">
        <w:rPr>
          <w:rFonts w:ascii="仿宋" w:eastAsia="仿宋" w:hAnsi="仿宋" w:hint="eastAsia"/>
          <w:color w:val="000000"/>
          <w:sz w:val="30"/>
          <w:szCs w:val="30"/>
        </w:rPr>
        <w:t>最高人民法院《民事诉讼程序繁简分流改革试点实施办法》</w:t>
      </w:r>
      <w:r w:rsidRPr="00E95A71">
        <w:rPr>
          <w:rFonts w:ascii="仿宋" w:eastAsia="仿宋" w:hAnsi="仿宋" w:hint="eastAsia"/>
          <w:color w:val="000000"/>
          <w:sz w:val="30"/>
          <w:szCs w:val="30"/>
        </w:rPr>
        <w:t>第二十四条规定，经受送达人同意后，人民法院可以采取电子方式送达诉讼文书，同时还规定了受送达人对在诉讼中适用电子送达已作出过约定的、受送达人在提交的起诉状、答辩状中主动提供用于接收送达的电子地址的、受送达人通过回复收悉</w:t>
      </w:r>
      <w:r w:rsidR="00375D07" w:rsidRPr="00E95A71">
        <w:rPr>
          <w:rFonts w:ascii="仿宋" w:eastAsia="仿宋" w:hAnsi="仿宋" w:hint="eastAsia"/>
          <w:color w:val="000000"/>
          <w:sz w:val="30"/>
          <w:szCs w:val="30"/>
        </w:rPr>
        <w:t>及</w:t>
      </w:r>
      <w:r w:rsidRPr="00E95A71">
        <w:rPr>
          <w:rFonts w:ascii="仿宋" w:eastAsia="仿宋" w:hAnsi="仿宋" w:hint="eastAsia"/>
          <w:color w:val="000000"/>
          <w:sz w:val="30"/>
          <w:szCs w:val="30"/>
        </w:rPr>
        <w:t>参加诉讼等方式接受已经完成的电子送达等可以推定其同意的情形。该规定明确了当前电子送达工作开展的前提条件，即受送达人同意</w:t>
      </w:r>
      <w:r w:rsidRPr="00E95A71">
        <w:rPr>
          <w:rFonts w:ascii="仿宋" w:eastAsia="仿宋" w:hAnsi="仿宋" w:hint="eastAsia"/>
          <w:color w:val="000000"/>
          <w:sz w:val="30"/>
          <w:szCs w:val="30"/>
        </w:rPr>
        <w:lastRenderedPageBreak/>
        <w:t>或能够推定其同意。</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仿宋" w:eastAsia="仿宋" w:hAnsi="仿宋" w:hint="eastAsia"/>
          <w:color w:val="000000"/>
          <w:sz w:val="30"/>
          <w:szCs w:val="30"/>
        </w:rPr>
        <w:t>上述主观条件设立的初衷，在于保护不熟悉或者不懂得如何操作电子信息设备，甚至没有电子信息设备的当事人。</w:t>
      </w:r>
      <w:r w:rsidRPr="00E95A71">
        <w:rPr>
          <w:rFonts w:ascii="仿宋" w:eastAsia="仿宋"/>
        </w:rPr>
        <w:footnoteReference w:id="7"/>
      </w:r>
      <w:r w:rsidRPr="00E95A71">
        <w:rPr>
          <w:rFonts w:ascii="仿宋" w:eastAsia="仿宋" w:hAnsi="仿宋" w:hint="eastAsia"/>
          <w:color w:val="000000"/>
          <w:sz w:val="30"/>
          <w:szCs w:val="30"/>
        </w:rPr>
        <w:t>电子送达的价值在于实现法院提升诉讼效率和保障当事人诉讼权益之间的平衡，受送达人是否同意选用电子送达方式，其实质是对自己是否有能力接收电子送达自我评价后得出的选择。</w:t>
      </w:r>
      <w:r w:rsidRPr="00E95A71">
        <w:rPr>
          <w:rFonts w:ascii="仿宋" w:eastAsia="仿宋"/>
        </w:rPr>
        <w:footnoteReference w:id="8"/>
      </w:r>
      <w:r w:rsidRPr="00E95A71">
        <w:rPr>
          <w:rFonts w:ascii="仿宋" w:eastAsia="仿宋" w:hAnsi="仿宋" w:hint="eastAsia"/>
          <w:color w:val="000000"/>
          <w:sz w:val="30"/>
          <w:szCs w:val="30"/>
        </w:rPr>
        <w:t>这一规定，既是对当事人诉讼自主权的保护，同时确实在客观上限制了电子送达适用率的提升。为提高当事人同意电子送达的比率，相城法院采取了在立案阶段建议原告填写包含同意电子送达的地址确认书、和律师协会及律师事务所签订有关电子送达协议等方</w:t>
      </w:r>
      <w:r w:rsidR="00274910" w:rsidRPr="00E95A71">
        <w:rPr>
          <w:rFonts w:ascii="仿宋" w:eastAsia="仿宋" w:hAnsi="仿宋" w:hint="eastAsia"/>
          <w:color w:val="000000"/>
          <w:sz w:val="30"/>
          <w:szCs w:val="30"/>
        </w:rPr>
        <w:t>法</w:t>
      </w:r>
      <w:r w:rsidRPr="00E95A71">
        <w:rPr>
          <w:rFonts w:ascii="仿宋" w:eastAsia="仿宋" w:hAnsi="仿宋" w:hint="eastAsia"/>
          <w:color w:val="000000"/>
          <w:sz w:val="30"/>
          <w:szCs w:val="30"/>
        </w:rPr>
        <w:t>予以解决。同时，对于被告当事人而言，该院采取了先进行电话沟通，征询是否同意电子送达的方式，但逐案拨打电话的人力成本同样高昂且效果较为一般。今后，如何进一步提升电子送达适用率，仍需首先解决如何征求当事人同意的问题。</w:t>
      </w:r>
    </w:p>
    <w:p w:rsidR="00826359" w:rsidRPr="00E95A71" w:rsidRDefault="00826359" w:rsidP="0086182B">
      <w:pPr>
        <w:spacing w:line="560" w:lineRule="exact"/>
        <w:ind w:firstLine="630"/>
        <w:rPr>
          <w:rFonts w:ascii="楷体" w:eastAsia="楷体" w:hAnsi="楷体" w:cs="楷体"/>
          <w:b/>
          <w:bCs/>
          <w:color w:val="000000"/>
          <w:sz w:val="30"/>
          <w:szCs w:val="30"/>
        </w:rPr>
      </w:pPr>
      <w:r w:rsidRPr="00E95A71">
        <w:rPr>
          <w:rFonts w:ascii="楷体" w:eastAsia="楷体" w:hAnsi="楷体" w:cs="楷体" w:hint="eastAsia"/>
          <w:b/>
          <w:bCs/>
          <w:color w:val="000000"/>
          <w:sz w:val="30"/>
          <w:szCs w:val="30"/>
        </w:rPr>
        <w:t>（二）送达成功的确认方法亟待完善</w:t>
      </w:r>
    </w:p>
    <w:p w:rsidR="00826359" w:rsidRPr="007A5C5D" w:rsidRDefault="00826359" w:rsidP="0086182B">
      <w:pPr>
        <w:spacing w:line="560" w:lineRule="exact"/>
        <w:ind w:firstLine="630"/>
        <w:rPr>
          <w:rFonts w:ascii="仿宋" w:eastAsia="仿宋" w:hAnsi="仿宋"/>
          <w:color w:val="000000"/>
          <w:sz w:val="30"/>
          <w:szCs w:val="30"/>
        </w:rPr>
      </w:pPr>
      <w:r w:rsidRPr="007A5C5D">
        <w:rPr>
          <w:rFonts w:ascii="仿宋" w:eastAsia="仿宋" w:hAnsi="仿宋" w:hint="eastAsia"/>
          <w:color w:val="000000"/>
          <w:sz w:val="30"/>
          <w:szCs w:val="30"/>
        </w:rPr>
        <w:t>当前我国电子信息技术虽然已经比较成熟，但信息系统客观上仍然可能受到硬件设备以及人为原因或者病毒等因素的影响，存在信息发出后不能被及时正确及时接收的可能性。最高人民法院《民事诉讼程序繁简分流改革试点实施办法》对于送达成功的确认，按照电子地址的来源而采取了两种不同的方法，即向当事人提供或确认的电子地址送达的采取到达主义，向法院获取的电子地址送达的采取收悉主义。</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仿宋" w:eastAsia="仿宋" w:hAnsi="仿宋" w:hint="eastAsia"/>
          <w:color w:val="000000"/>
          <w:sz w:val="30"/>
          <w:szCs w:val="30"/>
        </w:rPr>
        <w:t>如前所述，当前相城法院的电子送达媒介，主要依靠苏州法</w:t>
      </w:r>
      <w:r w:rsidRPr="00E95A71">
        <w:rPr>
          <w:rFonts w:ascii="仿宋" w:eastAsia="仿宋" w:hAnsi="仿宋" w:hint="eastAsia"/>
          <w:color w:val="000000"/>
          <w:sz w:val="30"/>
          <w:szCs w:val="30"/>
        </w:rPr>
        <w:lastRenderedPageBreak/>
        <w:t>院律师在线服务平台、苏州智慧法院</w:t>
      </w:r>
      <w:r w:rsidRPr="00E95A71">
        <w:rPr>
          <w:rFonts w:ascii="仿宋" w:eastAsia="仿宋" w:hAnsi="仿宋"/>
          <w:color w:val="000000"/>
          <w:sz w:val="30"/>
          <w:szCs w:val="30"/>
        </w:rPr>
        <w:t>APP和通过12368平台发送带验证码的短信链接的方式完成，目前上述送达方式仍仅能确认信息发出时间，除当事人明确回复及实际参加诉讼外，难以在线确认其是否确实阅知信息。实践中，目前是通过电子送达发起后，再通过电话方式确认和提醒其查看的方式进行，实际增加了送达人员的工作负担。但如果不采用电话追踪的方式进行确认，则后续当事人如拒绝出庭应诉或否认其实际收到信息或已阅知，法院也缺乏技术手段证明送达的有效性。</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仿宋" w:eastAsia="仿宋" w:hAnsi="仿宋" w:hint="eastAsia"/>
          <w:color w:val="000000"/>
          <w:sz w:val="30"/>
          <w:szCs w:val="30"/>
        </w:rPr>
        <w:t>有关成功送达时间的确认难题，还存在于邮寄送达与电子送达并行的情况。由于电子送达与邮寄送达的效率不同，在两者同步进行的情况下，成功送达时间的确认，将直接影响到当事人的举证期、答辩期、上诉期等程序权利保障，甚至影响到其实体权益。</w:t>
      </w:r>
    </w:p>
    <w:p w:rsidR="00826359" w:rsidRPr="00E95A71" w:rsidRDefault="00826359" w:rsidP="0086182B">
      <w:pPr>
        <w:spacing w:line="560" w:lineRule="exact"/>
        <w:ind w:firstLine="630"/>
        <w:rPr>
          <w:rFonts w:ascii="楷体" w:eastAsia="楷体" w:hAnsi="楷体" w:cs="楷体"/>
          <w:b/>
          <w:bCs/>
          <w:color w:val="000000"/>
          <w:sz w:val="30"/>
          <w:szCs w:val="30"/>
        </w:rPr>
      </w:pPr>
      <w:r w:rsidRPr="00E95A71">
        <w:rPr>
          <w:rFonts w:ascii="楷体" w:eastAsia="楷体" w:hAnsi="楷体" w:cs="楷体" w:hint="eastAsia"/>
          <w:b/>
          <w:bCs/>
          <w:color w:val="000000"/>
          <w:sz w:val="30"/>
          <w:szCs w:val="30"/>
        </w:rPr>
        <w:t>（三）当事人提交电子化材料机制亟待完善</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仿宋" w:eastAsia="仿宋" w:hint="eastAsia"/>
        </w:rPr>
        <w:t>根据最高人民法院《民事诉讼程序繁简分流改革试点实施办法》的规定，</w:t>
      </w:r>
      <w:r w:rsidRPr="00E95A71">
        <w:rPr>
          <w:rFonts w:ascii="仿宋" w:eastAsia="仿宋" w:hAnsi="仿宋" w:hint="eastAsia"/>
          <w:color w:val="000000"/>
          <w:sz w:val="30"/>
          <w:szCs w:val="30"/>
        </w:rPr>
        <w:t>当事人及其他诉讼参与人可以通过电子化方式提交诉讼材料和证据材料。但是，目前仍然缺乏实现上述电子化材料提交功能</w:t>
      </w:r>
      <w:r w:rsidR="00227001" w:rsidRPr="00E95A71">
        <w:rPr>
          <w:rFonts w:ascii="仿宋" w:eastAsia="仿宋" w:hAnsi="仿宋" w:hint="eastAsia"/>
          <w:color w:val="000000"/>
          <w:sz w:val="30"/>
          <w:szCs w:val="30"/>
        </w:rPr>
        <w:t>的电子渠道</w:t>
      </w:r>
      <w:r w:rsidRPr="00E95A71">
        <w:rPr>
          <w:rFonts w:ascii="仿宋" w:eastAsia="仿宋" w:hAnsi="仿宋" w:hint="eastAsia"/>
          <w:color w:val="000000"/>
          <w:sz w:val="30"/>
          <w:szCs w:val="30"/>
        </w:rPr>
        <w:t>。审判实践中，当事人需要向法院提交的书面材料众多，包括证据材料、申请书、授权文件等，但在当前条件下仍只能通过传统的当面提交和邮寄提交方式来完成。这一方面增加了当事人来回交通、邮寄的经济和时间成本，也给法官和辅助人员增加了接待当事人，阅读、分装与处理邮件的工作量。当事人不能通过电子方式提交材料，而法院却单方要求其配合接受电子送达，其心理上也相对难以接受。若能够实现法院和当事人之间统一的电子</w:t>
      </w:r>
      <w:r w:rsidRPr="00E95A71">
        <w:rPr>
          <w:rFonts w:ascii="仿宋" w:eastAsia="仿宋" w:hAnsi="仿宋" w:hint="eastAsia"/>
          <w:color w:val="000000"/>
          <w:sz w:val="30"/>
          <w:szCs w:val="30"/>
        </w:rPr>
        <w:lastRenderedPageBreak/>
        <w:t>化材料交互，法院传票与当事人申请事项均能够通过同一平台进行，则将会激励更大范围的当事人自愿接受电子送达。</w:t>
      </w:r>
    </w:p>
    <w:p w:rsidR="00826359" w:rsidRPr="00E95A71" w:rsidRDefault="00826359" w:rsidP="0086182B">
      <w:pPr>
        <w:spacing w:line="560" w:lineRule="exact"/>
        <w:ind w:firstLine="630"/>
        <w:rPr>
          <w:rFonts w:ascii="楷体" w:eastAsia="楷体" w:hAnsi="楷体" w:cs="楷体"/>
          <w:b/>
          <w:bCs/>
          <w:color w:val="000000"/>
          <w:sz w:val="30"/>
          <w:szCs w:val="30"/>
        </w:rPr>
      </w:pPr>
      <w:r w:rsidRPr="00E95A71">
        <w:rPr>
          <w:rFonts w:ascii="楷体" w:eastAsia="楷体" w:hAnsi="楷体" w:cs="楷体" w:hint="eastAsia"/>
          <w:b/>
          <w:bCs/>
          <w:color w:val="000000"/>
          <w:sz w:val="30"/>
          <w:szCs w:val="30"/>
        </w:rPr>
        <w:t>（四）公告送达的适用条件与方式亟待完善</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仿宋" w:eastAsia="仿宋" w:hAnsi="仿宋" w:hint="eastAsia"/>
          <w:color w:val="000000"/>
          <w:sz w:val="30"/>
          <w:szCs w:val="30"/>
        </w:rPr>
        <w:t>近年来，信息技术进步日新月异，作为传统纸质媒体的报纸已经较少有业外人士购买、阅读。目前，全国大部分法院，包括相城法院在内，公告送达仍依托报纸进行。从实践效果来看，以报纸公告送达的方式，往往只能达到法律上的拟制送达效果，实际上并不能起到对当事人送达的作用，绝大多数当事人都没有看到公告送达的内容。此外，在报纸上公告，需要完成缴纳公告费，传送公告费凭证及公告底稿至报社，然后等待报社安排公告时间的流程，一般需要</w:t>
      </w:r>
      <w:r w:rsidRPr="00E95A71">
        <w:rPr>
          <w:rFonts w:ascii="仿宋" w:eastAsia="仿宋" w:hAnsi="仿宋"/>
          <w:color w:val="000000"/>
          <w:sz w:val="30"/>
          <w:szCs w:val="30"/>
        </w:rPr>
        <w:t>20日以上，既需要耗费当事人经济成本，也给诉讼流程的缩短带来了障碍。可见，在报纸上公告送达的方式已经和当今科技迅速发展、社交媒介改变的现代社会有所脱节，既不能起到让被告知晓己方涉诉的作用，</w:t>
      </w:r>
      <w:r w:rsidR="00227001" w:rsidRPr="00E95A71">
        <w:rPr>
          <w:rFonts w:ascii="仿宋" w:eastAsia="仿宋" w:hAnsi="仿宋" w:hint="eastAsia"/>
          <w:color w:val="000000"/>
          <w:sz w:val="30"/>
          <w:szCs w:val="30"/>
        </w:rPr>
        <w:t>也</w:t>
      </w:r>
      <w:r w:rsidRPr="00E95A71">
        <w:rPr>
          <w:rFonts w:ascii="仿宋" w:eastAsia="仿宋" w:hAnsi="仿宋" w:hint="eastAsia"/>
          <w:color w:val="000000"/>
          <w:sz w:val="30"/>
          <w:szCs w:val="30"/>
        </w:rPr>
        <w:t>增加了诉讼</w:t>
      </w:r>
      <w:r w:rsidR="00227001" w:rsidRPr="00E95A71">
        <w:rPr>
          <w:rFonts w:ascii="仿宋" w:eastAsia="仿宋" w:hAnsi="仿宋" w:hint="eastAsia"/>
          <w:color w:val="000000"/>
          <w:sz w:val="30"/>
          <w:szCs w:val="30"/>
        </w:rPr>
        <w:t>成本</w:t>
      </w:r>
      <w:r w:rsidRPr="00E95A71">
        <w:rPr>
          <w:rFonts w:ascii="仿宋" w:eastAsia="仿宋" w:hAnsi="仿宋" w:hint="eastAsia"/>
          <w:color w:val="000000"/>
          <w:sz w:val="30"/>
          <w:szCs w:val="30"/>
        </w:rPr>
        <w:t>，降低了诉讼效率，甚至成为被告拖延诉讼、逃避法律义务的手段。</w:t>
      </w:r>
    </w:p>
    <w:p w:rsidR="00826359" w:rsidRPr="00E95A71" w:rsidRDefault="00826359" w:rsidP="0086182B">
      <w:pPr>
        <w:spacing w:line="560" w:lineRule="exact"/>
        <w:ind w:firstLine="630"/>
        <w:rPr>
          <w:rFonts w:ascii="黑体" w:eastAsia="黑体" w:hAnsi="黑体"/>
          <w:color w:val="000000"/>
          <w:sz w:val="30"/>
          <w:szCs w:val="30"/>
        </w:rPr>
      </w:pPr>
      <w:r w:rsidRPr="00E95A71">
        <w:rPr>
          <w:rFonts w:ascii="黑体" w:eastAsia="黑体" w:hAnsi="黑体" w:hint="eastAsia"/>
          <w:color w:val="000000"/>
          <w:sz w:val="30"/>
          <w:szCs w:val="30"/>
        </w:rPr>
        <w:t>四、电子送达工作发展的未来展望</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仿宋" w:eastAsia="仿宋" w:hAnsi="仿宋" w:hint="eastAsia"/>
          <w:color w:val="000000"/>
          <w:sz w:val="30"/>
          <w:szCs w:val="30"/>
        </w:rPr>
        <w:t>下一步，相城法院将在已有电子送达工作基础上，进一步从指导思想上、技术支持上、工作模式上、沟通协作上等方面对电子送达工作进一步完善、深化。</w:t>
      </w:r>
    </w:p>
    <w:p w:rsidR="00826359" w:rsidRPr="00E95A71" w:rsidRDefault="00826359" w:rsidP="0086182B">
      <w:pPr>
        <w:spacing w:line="560" w:lineRule="exact"/>
        <w:ind w:firstLine="630"/>
        <w:rPr>
          <w:rFonts w:ascii="楷体" w:eastAsia="楷体" w:hAnsi="楷体" w:cs="楷体"/>
          <w:b/>
          <w:bCs/>
          <w:color w:val="000000"/>
          <w:sz w:val="30"/>
          <w:szCs w:val="30"/>
        </w:rPr>
      </w:pPr>
      <w:r w:rsidRPr="00E95A71">
        <w:rPr>
          <w:rFonts w:ascii="楷体" w:eastAsia="楷体" w:hAnsi="楷体" w:cs="楷体" w:hint="eastAsia"/>
          <w:b/>
          <w:bCs/>
          <w:color w:val="000000"/>
          <w:sz w:val="30"/>
          <w:szCs w:val="30"/>
        </w:rPr>
        <w:t>（一）以电子送达为核心，构建“三分法”送达机制</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仿宋" w:eastAsia="仿宋" w:hAnsi="仿宋" w:hint="eastAsia"/>
          <w:color w:val="000000"/>
          <w:sz w:val="30"/>
          <w:szCs w:val="30"/>
        </w:rPr>
        <w:t>相城法院未来的送达体系，将以电子送达为中心，以电子送达为首选送达方式。对于当事人同意电子送达或者能够推定其同意电子送达的，一律采用电子方式送达。在无法有效完成电子送达的前提下，立即转入直接送达或者邮寄方式完成。如穷尽以上</w:t>
      </w:r>
      <w:r w:rsidRPr="00E95A71">
        <w:rPr>
          <w:rFonts w:ascii="仿宋" w:eastAsia="仿宋" w:hAnsi="仿宋" w:hint="eastAsia"/>
          <w:color w:val="000000"/>
          <w:sz w:val="30"/>
          <w:szCs w:val="30"/>
        </w:rPr>
        <w:lastRenderedPageBreak/>
        <w:t>方式不能送达成功，则使用电子公告送达予以解决。</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仿宋" w:eastAsia="仿宋" w:hAnsi="仿宋" w:hint="eastAsia"/>
          <w:color w:val="000000"/>
          <w:sz w:val="30"/>
          <w:szCs w:val="30"/>
        </w:rPr>
        <w:t>关于电子送达的渠道，该院下一步将以通过</w:t>
      </w:r>
      <w:r w:rsidRPr="00E95A71">
        <w:rPr>
          <w:rFonts w:ascii="仿宋" w:eastAsia="仿宋" w:hAnsi="仿宋"/>
          <w:color w:val="000000"/>
          <w:sz w:val="30"/>
          <w:szCs w:val="30"/>
        </w:rPr>
        <w:t>12368平台发送带验证码的短信链接的方式为主，</w:t>
      </w:r>
      <w:r w:rsidR="0045016E" w:rsidRPr="00E95A71">
        <w:rPr>
          <w:rFonts w:ascii="仿宋" w:eastAsia="仿宋" w:hAnsi="仿宋" w:hint="eastAsia"/>
          <w:color w:val="000000"/>
          <w:sz w:val="30"/>
          <w:szCs w:val="30"/>
        </w:rPr>
        <w:t>结合</w:t>
      </w:r>
      <w:r w:rsidRPr="00E95A71">
        <w:rPr>
          <w:rFonts w:ascii="仿宋" w:eastAsia="仿宋" w:hAnsi="仿宋" w:hint="eastAsia"/>
          <w:color w:val="000000"/>
          <w:sz w:val="30"/>
          <w:szCs w:val="30"/>
        </w:rPr>
        <w:t>苏州法院律师在线服务平台、苏州智慧法院</w:t>
      </w:r>
      <w:r w:rsidRPr="00E95A71">
        <w:rPr>
          <w:rFonts w:ascii="仿宋" w:eastAsia="仿宋" w:hAnsi="仿宋"/>
          <w:color w:val="000000"/>
          <w:sz w:val="30"/>
          <w:szCs w:val="30"/>
        </w:rPr>
        <w:t>APP</w:t>
      </w:r>
      <w:r w:rsidRPr="00E95A71">
        <w:rPr>
          <w:rFonts w:ascii="仿宋" w:eastAsia="仿宋" w:hAnsi="仿宋" w:hint="eastAsia"/>
          <w:color w:val="000000"/>
          <w:sz w:val="30"/>
          <w:szCs w:val="30"/>
        </w:rPr>
        <w:t>的方式进行。手机短信，因其方便、可视、可存储、价格低廉等特点，已成为当今时代信息传递的主流方式之一。鉴于当前我国手机网络的普及程度和手机号实名制的推行，目前以文字信息形式发送司法文书，并以电话追踪或其他方式确认当事人收悉、阅知，已被证明为有效的电子送达方式，也是一般社会大众最容易操作和接受的送达方式。</w:t>
      </w:r>
    </w:p>
    <w:p w:rsidR="00826359" w:rsidRPr="00E95A71" w:rsidRDefault="00826359" w:rsidP="0086182B">
      <w:pPr>
        <w:spacing w:line="560" w:lineRule="exact"/>
        <w:ind w:firstLine="630"/>
        <w:rPr>
          <w:rFonts w:ascii="楷体" w:eastAsia="楷体" w:hAnsi="楷体" w:cs="楷体"/>
          <w:b/>
          <w:color w:val="000000"/>
          <w:sz w:val="30"/>
          <w:szCs w:val="30"/>
        </w:rPr>
      </w:pPr>
      <w:r w:rsidRPr="00E95A71">
        <w:rPr>
          <w:rFonts w:ascii="楷体" w:eastAsia="楷体" w:hAnsi="楷体" w:cs="楷体" w:hint="eastAsia"/>
          <w:b/>
          <w:color w:val="000000"/>
          <w:sz w:val="30"/>
          <w:szCs w:val="30"/>
        </w:rPr>
        <w:t>（二）以区块链技术为保证，确保电子送达安全性、有效性</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仿宋" w:eastAsia="仿宋" w:hAnsi="仿宋" w:hint="eastAsia"/>
          <w:color w:val="000000"/>
          <w:sz w:val="30"/>
          <w:szCs w:val="30"/>
        </w:rPr>
        <w:t>电子送达的特殊性决定了以下问题：第一，电子送达必须要利用外部网络来实现送达，这给安全保障提供了新的难题。电子送达过程中存在多个连接点，包括信息传达点、信息接收点、服务器等，任何一个点位均要保障安全性</w:t>
      </w:r>
      <w:r w:rsidRPr="00E95A71">
        <w:rPr>
          <w:rFonts w:ascii="仿宋" w:eastAsia="仿宋"/>
        </w:rPr>
        <w:footnoteReference w:id="9"/>
      </w:r>
      <w:r w:rsidRPr="00E95A71">
        <w:rPr>
          <w:rFonts w:ascii="仿宋" w:eastAsia="仿宋" w:hAnsi="仿宋" w:hint="eastAsia"/>
          <w:color w:val="000000"/>
          <w:sz w:val="30"/>
          <w:szCs w:val="30"/>
        </w:rPr>
        <w:t>。第二，要加大电子送达的适用率，势必要通过建立电子送达数据库等手段，这也给技术层面提供了新的要求。第三，随着服务外包模式的不断成熟和优化，邮政等社会外包人员加入送达队伍，亦需要对所有送达过程进行跟踪记录，确保司法文书的安全传输将是首要课题。所以，电子送达方式的推进离不开强有力的技术支持，只有最先进的信息技术才能为内外网信息的交互、当事人信息保护、电子送达全流程跟踪提供有效的安全保障，为高效的审判运行提供保障。下一步，相城法院将加大科技投入力度，充分借助区块链技术的特</w:t>
      </w:r>
      <w:r w:rsidRPr="00E95A71">
        <w:rPr>
          <w:rFonts w:ascii="仿宋" w:eastAsia="仿宋" w:hAnsi="仿宋" w:hint="eastAsia"/>
          <w:color w:val="000000"/>
          <w:sz w:val="30"/>
          <w:szCs w:val="30"/>
        </w:rPr>
        <w:lastRenderedPageBreak/>
        <w:t>性，利用分布式储存、不可更改的可信度为电子送达的安全性、有效性提供有力保障。</w:t>
      </w:r>
    </w:p>
    <w:p w:rsidR="00826359" w:rsidRPr="00E95A71" w:rsidRDefault="00826359" w:rsidP="0086182B">
      <w:pPr>
        <w:spacing w:line="560" w:lineRule="exact"/>
        <w:ind w:firstLine="630"/>
        <w:rPr>
          <w:rFonts w:ascii="楷体" w:eastAsia="楷体" w:hAnsi="楷体" w:cs="楷体"/>
          <w:b/>
          <w:bCs/>
          <w:color w:val="000000"/>
          <w:sz w:val="30"/>
          <w:szCs w:val="30"/>
        </w:rPr>
      </w:pPr>
      <w:r w:rsidRPr="00E95A71">
        <w:rPr>
          <w:rFonts w:ascii="楷体" w:eastAsia="楷体" w:hAnsi="楷体" w:cs="楷体" w:hint="eastAsia"/>
          <w:b/>
          <w:bCs/>
          <w:color w:val="000000"/>
          <w:sz w:val="30"/>
          <w:szCs w:val="30"/>
        </w:rPr>
        <w:t>（三）以精准地址库为依托，扩大电子送达工作覆盖面</w:t>
      </w:r>
    </w:p>
    <w:p w:rsidR="00826359" w:rsidRPr="00E95A71" w:rsidRDefault="00826359" w:rsidP="00E95A71">
      <w:pPr>
        <w:spacing w:line="560" w:lineRule="exact"/>
        <w:ind w:firstLine="630"/>
        <w:rPr>
          <w:rFonts w:ascii="仿宋" w:eastAsia="仿宋" w:hAnsi="仿宋"/>
          <w:color w:val="000000"/>
          <w:sz w:val="30"/>
          <w:szCs w:val="30"/>
        </w:rPr>
      </w:pPr>
      <w:r w:rsidRPr="00E95A71">
        <w:rPr>
          <w:rFonts w:ascii="仿宋" w:eastAsia="仿宋" w:hAnsi="仿宋" w:hint="eastAsia"/>
          <w:color w:val="000000"/>
          <w:sz w:val="30"/>
          <w:szCs w:val="30"/>
        </w:rPr>
        <w:t>电子送达工作开展以当事人明确同意或能够推定其同意为前提，而欲在此限制条件下提升电子送达适用比率，则需要建立统一精准的当事人送达地址数据库。首先，建立电子地址数据库专门维护团队，由全院一线审执法官和辅助人员收集经当事人同意和确认的电子地址，汇总至数据库中，基本实现“一人一案一地址”。其次，对于新收案件，原告在立案窗口或网上</w:t>
      </w:r>
      <w:r w:rsidR="00375D07" w:rsidRPr="00E95A71">
        <w:rPr>
          <w:rFonts w:ascii="仿宋" w:eastAsia="仿宋" w:hAnsi="仿宋" w:hint="eastAsia"/>
          <w:color w:val="000000"/>
          <w:sz w:val="30"/>
          <w:szCs w:val="30"/>
        </w:rPr>
        <w:t>立案时统一递交送达地址确认书，被告在应诉时或直接送达过程中面签</w:t>
      </w:r>
      <w:r w:rsidRPr="00E95A71">
        <w:rPr>
          <w:rFonts w:ascii="仿宋" w:eastAsia="仿宋" w:hAnsi="仿宋" w:hint="eastAsia"/>
          <w:color w:val="000000"/>
          <w:sz w:val="30"/>
          <w:szCs w:val="30"/>
        </w:rPr>
        <w:t>送达地址确认书，送达中心专人维护每一个案件的当事人的送达地址信息，全部送达基于此库，不再去想办法“找”送达地址。再次，送达人员在送达时，首先在电子送达地址库中进行检索，能够检索出有效电子地址的，除当事人明确要求邮寄送达或直接送达外，一律选择电子送达方式进行送达，而不再采取其他送达方式。</w:t>
      </w:r>
    </w:p>
    <w:p w:rsidR="00826359" w:rsidRPr="00E95A71" w:rsidRDefault="00826359" w:rsidP="0086182B">
      <w:pPr>
        <w:spacing w:line="560" w:lineRule="exact"/>
        <w:ind w:firstLineChars="200" w:firstLine="602"/>
        <w:rPr>
          <w:rFonts w:ascii="楷体" w:eastAsia="楷体" w:hAnsi="楷体"/>
          <w:b/>
          <w:color w:val="000000"/>
          <w:sz w:val="30"/>
          <w:szCs w:val="30"/>
        </w:rPr>
      </w:pPr>
      <w:r w:rsidRPr="00E95A71">
        <w:rPr>
          <w:rFonts w:ascii="楷体" w:eastAsia="楷体" w:hAnsi="楷体" w:hint="eastAsia"/>
          <w:b/>
          <w:color w:val="000000"/>
          <w:sz w:val="30"/>
          <w:szCs w:val="30"/>
        </w:rPr>
        <w:t>（四）以增量扩容为</w:t>
      </w:r>
      <w:r w:rsidR="005B3C69" w:rsidRPr="00E95A71">
        <w:rPr>
          <w:rFonts w:ascii="楷体" w:eastAsia="楷体" w:hAnsi="楷体" w:hint="eastAsia"/>
          <w:b/>
          <w:color w:val="000000"/>
          <w:sz w:val="30"/>
          <w:szCs w:val="30"/>
        </w:rPr>
        <w:t>方向</w:t>
      </w:r>
      <w:r w:rsidRPr="00E95A71">
        <w:rPr>
          <w:rFonts w:ascii="楷体" w:eastAsia="楷体" w:hAnsi="楷体" w:hint="eastAsia"/>
          <w:b/>
          <w:color w:val="000000"/>
          <w:sz w:val="30"/>
          <w:szCs w:val="30"/>
        </w:rPr>
        <w:t>，借助律师平台实现全域电子送达</w:t>
      </w:r>
    </w:p>
    <w:p w:rsidR="00826359" w:rsidRPr="00E95A71" w:rsidRDefault="005B1D4E" w:rsidP="00E95A71">
      <w:pPr>
        <w:spacing w:line="560" w:lineRule="exact"/>
        <w:ind w:firstLine="630"/>
        <w:rPr>
          <w:rFonts w:ascii="仿宋" w:eastAsia="仿宋" w:hAnsi="仿宋"/>
          <w:color w:val="000000"/>
          <w:sz w:val="30"/>
          <w:szCs w:val="30"/>
        </w:rPr>
      </w:pPr>
      <w:r w:rsidRPr="00E95A71">
        <w:rPr>
          <w:rFonts w:ascii="仿宋" w:eastAsia="仿宋" w:hAnsi="仿宋" w:hint="eastAsia"/>
          <w:color w:val="000000"/>
          <w:sz w:val="30"/>
          <w:szCs w:val="30"/>
        </w:rPr>
        <w:t>当前的苏州法院律师在线服务平台，仅由各法院与区司法局及辖区内律师协会签订网上送达诉讼文书框架协议，引导辖区内律师事务所律师在苏州法院律师在线服务平台注册，由此实现对律师的送达依托该平台进行。下一步，相城法院将从两个方面入手，为律师平台增量扩容，将对律师的送达手段相对固定为电子送达渠道。一方面，与苏州市中级人民法院及市内其他兄弟法院加强协作，与苏州市司法局、市律师协会及各区律师协会签订框</w:t>
      </w:r>
      <w:r w:rsidRPr="00E95A71">
        <w:rPr>
          <w:rFonts w:ascii="仿宋" w:eastAsia="仿宋" w:hAnsi="仿宋" w:hint="eastAsia"/>
          <w:color w:val="000000"/>
          <w:sz w:val="30"/>
          <w:szCs w:val="30"/>
        </w:rPr>
        <w:lastRenderedPageBreak/>
        <w:t>架协议，导流进入律师平台注册，将苏州市范围内执业律师全部纳入电子送达范围。另一方面，注重个案中收集在本院代理诉讼案件的</w:t>
      </w:r>
      <w:r w:rsidR="00227001" w:rsidRPr="00E95A71">
        <w:rPr>
          <w:rFonts w:ascii="仿宋" w:eastAsia="仿宋" w:hAnsi="仿宋" w:hint="eastAsia"/>
          <w:color w:val="000000"/>
          <w:sz w:val="30"/>
          <w:szCs w:val="30"/>
        </w:rPr>
        <w:t>外地</w:t>
      </w:r>
      <w:r w:rsidRPr="00E95A71">
        <w:rPr>
          <w:rFonts w:ascii="仿宋" w:eastAsia="仿宋" w:hAnsi="仿宋" w:hint="eastAsia"/>
          <w:color w:val="000000"/>
          <w:sz w:val="30"/>
          <w:szCs w:val="30"/>
        </w:rPr>
        <w:t>律师电子</w:t>
      </w:r>
      <w:r w:rsidR="00227001" w:rsidRPr="00E95A71">
        <w:rPr>
          <w:rFonts w:ascii="仿宋" w:eastAsia="仿宋" w:hAnsi="仿宋" w:hint="eastAsia"/>
          <w:color w:val="000000"/>
          <w:sz w:val="30"/>
          <w:szCs w:val="30"/>
        </w:rPr>
        <w:t>送达</w:t>
      </w:r>
      <w:r w:rsidRPr="00E95A71">
        <w:rPr>
          <w:rFonts w:ascii="仿宋" w:eastAsia="仿宋" w:hAnsi="仿宋" w:hint="eastAsia"/>
          <w:color w:val="000000"/>
          <w:sz w:val="30"/>
          <w:szCs w:val="30"/>
        </w:rPr>
        <w:t>地址，同时征询其同意后，纳入律师平台服务范围。</w:t>
      </w:r>
    </w:p>
    <w:p w:rsidR="00826359" w:rsidRPr="00E95A71" w:rsidRDefault="00826359" w:rsidP="0086182B">
      <w:pPr>
        <w:spacing w:line="560" w:lineRule="exact"/>
        <w:ind w:firstLine="630"/>
        <w:rPr>
          <w:rFonts w:ascii="楷体" w:eastAsia="楷体" w:hAnsi="楷体" w:cs="楷体"/>
          <w:b/>
          <w:bCs/>
          <w:color w:val="000000"/>
          <w:sz w:val="30"/>
          <w:szCs w:val="30"/>
        </w:rPr>
      </w:pPr>
      <w:r w:rsidRPr="00E95A71">
        <w:rPr>
          <w:rFonts w:ascii="楷体" w:eastAsia="楷体" w:hAnsi="楷体" w:cs="楷体" w:hint="eastAsia"/>
          <w:b/>
          <w:bCs/>
          <w:color w:val="000000"/>
          <w:sz w:val="30"/>
          <w:szCs w:val="30"/>
        </w:rPr>
        <w:t>（</w:t>
      </w:r>
      <w:r w:rsidR="005B1D4E" w:rsidRPr="00E95A71">
        <w:rPr>
          <w:rFonts w:ascii="楷体" w:eastAsia="楷体" w:hAnsi="楷体" w:cs="楷体" w:hint="eastAsia"/>
          <w:b/>
          <w:bCs/>
          <w:color w:val="000000"/>
          <w:sz w:val="30"/>
          <w:szCs w:val="30"/>
        </w:rPr>
        <w:t>五</w:t>
      </w:r>
      <w:r w:rsidRPr="00E95A71">
        <w:rPr>
          <w:rFonts w:ascii="楷体" w:eastAsia="楷体" w:hAnsi="楷体" w:cs="楷体" w:hint="eastAsia"/>
          <w:b/>
          <w:bCs/>
          <w:color w:val="000000"/>
          <w:sz w:val="30"/>
          <w:szCs w:val="30"/>
        </w:rPr>
        <w:t>）以送达剥离为手段，提升电子送达适用率</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仿宋" w:eastAsia="仿宋" w:hAnsi="仿宋" w:hint="eastAsia"/>
          <w:color w:val="000000"/>
          <w:sz w:val="30"/>
          <w:szCs w:val="30"/>
        </w:rPr>
        <w:t>目前，相城法院已经建立了综合送达中心，在法官或辅助人员发起送达任务后，集中进行处理送达事项。但是，目前对于送达对象及其具体的送达地址、送达方式，仍</w:t>
      </w:r>
      <w:r w:rsidR="00227001" w:rsidRPr="00E95A71">
        <w:rPr>
          <w:rFonts w:ascii="仿宋" w:eastAsia="仿宋" w:hAnsi="仿宋" w:hint="eastAsia"/>
          <w:color w:val="000000"/>
          <w:sz w:val="30"/>
          <w:szCs w:val="30"/>
        </w:rPr>
        <w:t>由</w:t>
      </w:r>
      <w:r w:rsidRPr="00E95A71">
        <w:rPr>
          <w:rFonts w:ascii="仿宋" w:eastAsia="仿宋" w:hAnsi="仿宋" w:hint="eastAsia"/>
          <w:color w:val="000000"/>
          <w:sz w:val="30"/>
          <w:szCs w:val="30"/>
        </w:rPr>
        <w:t>法官和书记员予以判断和发出指令。下一步，相城法院拟将送达工作彻底从法官和其直接指挥的辅助人员手中剥离，法官和辅助人员仅需要发出送达指令以及提供需要送达的文书，对于采用的具体送达方式和送达的地址等，将统一交由综合送达中心根据送达地址库中当事人送达信息，由电脑自动识别流转完成。送达中心完成任务后，将出具由当事人签收的凭证、送达回证或者以电子方式形成的电子送达回证，由送达中心对送达的真实性和有效性负责。</w:t>
      </w:r>
    </w:p>
    <w:p w:rsidR="00826359" w:rsidRPr="00E95A71" w:rsidRDefault="00826359" w:rsidP="0086182B">
      <w:pPr>
        <w:spacing w:line="560" w:lineRule="exact"/>
        <w:ind w:firstLine="630"/>
        <w:rPr>
          <w:rFonts w:ascii="楷体" w:eastAsia="楷体" w:hAnsi="楷体"/>
          <w:b/>
          <w:color w:val="000000"/>
          <w:sz w:val="30"/>
          <w:szCs w:val="30"/>
        </w:rPr>
      </w:pPr>
      <w:r w:rsidRPr="00E95A71">
        <w:rPr>
          <w:rFonts w:ascii="楷体" w:eastAsia="楷体" w:hAnsi="楷体" w:hint="eastAsia"/>
          <w:b/>
          <w:color w:val="000000"/>
          <w:sz w:val="30"/>
          <w:szCs w:val="30"/>
        </w:rPr>
        <w:t>（</w:t>
      </w:r>
      <w:r w:rsidR="005B1D4E" w:rsidRPr="00E95A71">
        <w:rPr>
          <w:rFonts w:ascii="楷体" w:eastAsia="楷体" w:hAnsi="楷体" w:hint="eastAsia"/>
          <w:b/>
          <w:color w:val="000000"/>
          <w:sz w:val="30"/>
          <w:szCs w:val="30"/>
        </w:rPr>
        <w:t>六</w:t>
      </w:r>
      <w:r w:rsidRPr="00E95A71">
        <w:rPr>
          <w:rFonts w:ascii="楷体" w:eastAsia="楷体" w:hAnsi="楷体" w:hint="eastAsia"/>
          <w:b/>
          <w:color w:val="000000"/>
          <w:sz w:val="30"/>
          <w:szCs w:val="30"/>
        </w:rPr>
        <w:t>）以内外交互为关键，提升当事人配合电子送达积极性</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仿宋" w:eastAsia="仿宋" w:hAnsi="仿宋" w:hint="eastAsia"/>
          <w:color w:val="000000"/>
          <w:sz w:val="30"/>
          <w:szCs w:val="30"/>
        </w:rPr>
        <w:t>未来，相城法院将依托苏州法院律师在线服务平台和苏州智慧法院</w:t>
      </w:r>
      <w:r w:rsidRPr="00E95A71">
        <w:rPr>
          <w:rFonts w:ascii="仿宋" w:eastAsia="仿宋" w:hAnsi="仿宋"/>
          <w:color w:val="000000"/>
          <w:sz w:val="30"/>
          <w:szCs w:val="30"/>
        </w:rPr>
        <w:t>APP，打通内外网交互节点，实现法院单向电子送达向内外电子化材料交互传输的转变，使得律师和有需求、有能力的当事人，可以通过上述平台向法院提交电子化材料，并同步归入电子卷宗、送达给案件其他当事人。在减轻当事人诉累、降低其诉讼时间与经济成本的同时，提升法院电子送达工作吸引力，提升当事人配合法院电子送达工作的积极性。</w:t>
      </w:r>
    </w:p>
    <w:p w:rsidR="00826359" w:rsidRPr="00E95A71" w:rsidRDefault="00826359" w:rsidP="0086182B">
      <w:pPr>
        <w:spacing w:line="560" w:lineRule="exact"/>
        <w:ind w:firstLine="630"/>
        <w:rPr>
          <w:rFonts w:ascii="楷体" w:eastAsia="楷体" w:hAnsi="楷体"/>
          <w:b/>
          <w:bCs/>
          <w:color w:val="000000"/>
          <w:sz w:val="30"/>
          <w:szCs w:val="30"/>
        </w:rPr>
      </w:pPr>
      <w:r w:rsidRPr="00E95A71">
        <w:rPr>
          <w:rFonts w:ascii="楷体" w:eastAsia="楷体" w:hAnsi="楷体" w:hint="eastAsia"/>
          <w:b/>
          <w:bCs/>
          <w:color w:val="000000"/>
          <w:sz w:val="30"/>
          <w:szCs w:val="30"/>
        </w:rPr>
        <w:lastRenderedPageBreak/>
        <w:t>（</w:t>
      </w:r>
      <w:r w:rsidR="005B1D4E" w:rsidRPr="00E95A71">
        <w:rPr>
          <w:rFonts w:ascii="楷体" w:eastAsia="楷体" w:hAnsi="楷体" w:hint="eastAsia"/>
          <w:b/>
          <w:bCs/>
          <w:color w:val="000000"/>
          <w:sz w:val="30"/>
          <w:szCs w:val="30"/>
        </w:rPr>
        <w:t>七</w:t>
      </w:r>
      <w:r w:rsidRPr="00E95A71">
        <w:rPr>
          <w:rFonts w:ascii="楷体" w:eastAsia="楷体" w:hAnsi="楷体" w:hint="eastAsia"/>
          <w:b/>
          <w:bCs/>
          <w:color w:val="000000"/>
          <w:sz w:val="30"/>
          <w:szCs w:val="30"/>
        </w:rPr>
        <w:t>）以外部协作为抓手，深化电子送达工作效率、效果</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仿宋" w:eastAsia="仿宋" w:hAnsi="仿宋" w:hint="eastAsia"/>
          <w:color w:val="000000"/>
          <w:sz w:val="30"/>
          <w:szCs w:val="30"/>
        </w:rPr>
        <w:t>一方面，拟与最高人民法院大数据研究院合作，借助该院提供的大数据，完善本院的电子送达地址库，扩大电子送达的适用率和实际效果。另一方面，下一步将与公安部门和移动、电信、联通三大电讯运营商协作，建立电子地址查询平台，争取直接对接公安部门信息管理平台和三大电讯运营商，专线获取户籍信息、采集三个月内活跃的手机号码等送达所需关键信息，实现与公安、电讯运营商之间的资源共享，为诉讼文书电子送达进一步提供技术支撑。</w:t>
      </w:r>
    </w:p>
    <w:p w:rsidR="00826359" w:rsidRPr="00E95A71" w:rsidRDefault="00826359" w:rsidP="0086182B">
      <w:pPr>
        <w:spacing w:line="560" w:lineRule="exact"/>
        <w:ind w:firstLine="630"/>
        <w:rPr>
          <w:rFonts w:ascii="楷体" w:eastAsia="楷体" w:hAnsi="楷体" w:cs="楷体"/>
          <w:b/>
          <w:bCs/>
          <w:color w:val="000000"/>
          <w:sz w:val="30"/>
          <w:szCs w:val="30"/>
        </w:rPr>
      </w:pPr>
      <w:r w:rsidRPr="00E95A71">
        <w:rPr>
          <w:rFonts w:ascii="楷体" w:eastAsia="楷体" w:hAnsi="楷体" w:cs="楷体" w:hint="eastAsia"/>
          <w:b/>
          <w:bCs/>
          <w:color w:val="000000"/>
          <w:sz w:val="30"/>
          <w:szCs w:val="30"/>
        </w:rPr>
        <w:t>（</w:t>
      </w:r>
      <w:r w:rsidR="005B1D4E" w:rsidRPr="00E95A71">
        <w:rPr>
          <w:rFonts w:ascii="楷体" w:eastAsia="楷体" w:hAnsi="楷体" w:cs="楷体" w:hint="eastAsia"/>
          <w:b/>
          <w:bCs/>
          <w:color w:val="000000"/>
          <w:sz w:val="30"/>
          <w:szCs w:val="30"/>
        </w:rPr>
        <w:t>八</w:t>
      </w:r>
      <w:r w:rsidRPr="00E95A71">
        <w:rPr>
          <w:rFonts w:ascii="楷体" w:eastAsia="楷体" w:hAnsi="楷体" w:cs="楷体" w:hint="eastAsia"/>
          <w:b/>
          <w:bCs/>
          <w:color w:val="000000"/>
          <w:sz w:val="30"/>
          <w:szCs w:val="30"/>
        </w:rPr>
        <w:t>）以电子公告平台为突破，提升公告案件办理效率</w:t>
      </w:r>
    </w:p>
    <w:p w:rsidR="00826359" w:rsidRPr="00E95A71" w:rsidRDefault="00826359" w:rsidP="0086182B">
      <w:pPr>
        <w:spacing w:line="560" w:lineRule="exact"/>
        <w:ind w:firstLine="630"/>
        <w:rPr>
          <w:rFonts w:ascii="仿宋" w:eastAsia="仿宋" w:hAnsi="仿宋"/>
          <w:color w:val="000000"/>
          <w:sz w:val="30"/>
          <w:szCs w:val="30"/>
        </w:rPr>
      </w:pPr>
      <w:r w:rsidRPr="00E95A71">
        <w:rPr>
          <w:rFonts w:ascii="仿宋" w:eastAsia="仿宋" w:hAnsi="仿宋" w:hint="eastAsia"/>
          <w:color w:val="000000"/>
          <w:sz w:val="30"/>
          <w:szCs w:val="30"/>
        </w:rPr>
        <w:t>为提升公告效率，减低诉讼成本，同时提升公告有效送达成功率，相城法院拟打造专门的电子公告平台，摈弃将公告在传统纸质媒体进行的做法。电子公告平台建立后，与现行传统纸质媒体公告的做法相比，将具有三方面的优势：一是极大压缩案件平均审理天数。按照现行公告模式测算，自法院发现公告需求到刊登出公告的约</w:t>
      </w:r>
      <w:r w:rsidRPr="00E95A71">
        <w:rPr>
          <w:rFonts w:ascii="仿宋" w:eastAsia="仿宋" w:hAnsi="仿宋"/>
          <w:color w:val="000000"/>
          <w:sz w:val="30"/>
          <w:szCs w:val="30"/>
        </w:rPr>
        <w:t>20日期间，将压缩为当天完成，减少公告送达准备阶段的时间浪费，极大压缩案件平均审理天数，将使得</w:t>
      </w:r>
      <w:r w:rsidR="00375D07" w:rsidRPr="00E95A71">
        <w:rPr>
          <w:rFonts w:ascii="仿宋" w:eastAsia="仿宋" w:hAnsi="仿宋" w:hint="eastAsia"/>
          <w:color w:val="000000"/>
          <w:sz w:val="30"/>
          <w:szCs w:val="30"/>
        </w:rPr>
        <w:t>公告案件</w:t>
      </w:r>
      <w:r w:rsidRPr="00E95A71">
        <w:rPr>
          <w:rFonts w:ascii="仿宋" w:eastAsia="仿宋" w:hAnsi="仿宋"/>
          <w:color w:val="000000"/>
          <w:sz w:val="30"/>
          <w:szCs w:val="30"/>
        </w:rPr>
        <w:t>在简易程序的法定正常审限内结案成为可能。二是完全免去当事人缴纳公告费用的经济成本。电子公告将实现“零成本”，即降低了当事人的负担，也将解决部分案件中当事人不愿缴纳公告费的难题，还能确保在判决书无法电子或邮寄送达时立即公告送达，避免将来申请执行时发现还需要公告送达的尴尬。三是有效减少公告送达中的重复劳动。由于电子公告中期限的可控性，可在发出公告时即确定好答辩期、举证期及具体开庭时间、地点，</w:t>
      </w:r>
      <w:r w:rsidRPr="00E95A71">
        <w:rPr>
          <w:rFonts w:ascii="仿宋" w:eastAsia="仿宋" w:hAnsi="仿宋"/>
          <w:color w:val="000000"/>
          <w:sz w:val="30"/>
          <w:szCs w:val="30"/>
        </w:rPr>
        <w:lastRenderedPageBreak/>
        <w:t>电子公告即可视为传票。电子公告工作由</w:t>
      </w:r>
      <w:r w:rsidRPr="00E95A71">
        <w:rPr>
          <w:rFonts w:ascii="仿宋" w:eastAsia="仿宋" w:hAnsi="仿宋" w:hint="eastAsia"/>
          <w:color w:val="000000"/>
          <w:sz w:val="30"/>
          <w:szCs w:val="30"/>
        </w:rPr>
        <w:t>一站式</w:t>
      </w:r>
      <w:r w:rsidR="00375D07" w:rsidRPr="00E95A71">
        <w:rPr>
          <w:rFonts w:ascii="仿宋" w:eastAsia="仿宋" w:hAnsi="仿宋" w:hint="eastAsia"/>
          <w:color w:val="000000"/>
          <w:sz w:val="30"/>
          <w:szCs w:val="30"/>
        </w:rPr>
        <w:t>综合集约送达中心</w:t>
      </w:r>
      <w:r w:rsidRPr="00E95A71">
        <w:rPr>
          <w:rFonts w:ascii="仿宋" w:eastAsia="仿宋" w:hAnsi="仿宋" w:hint="eastAsia"/>
          <w:color w:val="000000"/>
          <w:sz w:val="30"/>
          <w:szCs w:val="30"/>
        </w:rPr>
        <w:t>直接完成后引入电子卷宗，并推送至当事人手机号码完成电子送达，将省去以往传统纸媒刊登出公告后重新分拆入卷、重新发送传票的工作负担。</w:t>
      </w:r>
    </w:p>
    <w:p w:rsidR="001645B8" w:rsidRPr="00E95A71" w:rsidRDefault="001645B8" w:rsidP="0086182B">
      <w:pPr>
        <w:spacing w:line="560" w:lineRule="exact"/>
        <w:ind w:firstLine="630"/>
        <w:rPr>
          <w:rFonts w:ascii="仿宋" w:eastAsia="仿宋" w:hAnsi="仿宋"/>
          <w:color w:val="000000"/>
          <w:sz w:val="30"/>
          <w:szCs w:val="30"/>
        </w:rPr>
      </w:pPr>
    </w:p>
    <w:sectPr w:rsidR="001645B8" w:rsidRPr="00E95A71" w:rsidSect="000954C8">
      <w:headerReference w:type="default" r:id="rId12"/>
      <w:footerReference w:type="default" r:id="rId13"/>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DEC23CB"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5E6B" w:rsidRDefault="009E5E6B" w:rsidP="000954C8">
      <w:r>
        <w:separator/>
      </w:r>
    </w:p>
  </w:endnote>
  <w:endnote w:type="continuationSeparator" w:id="1">
    <w:p w:rsidR="009E5E6B" w:rsidRDefault="009E5E6B" w:rsidP="000954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4C8" w:rsidRDefault="0067514F">
    <w:pPr>
      <w:pStyle w:val="a5"/>
      <w:jc w:val="center"/>
    </w:pPr>
    <w:r w:rsidRPr="0067514F">
      <w:fldChar w:fldCharType="begin"/>
    </w:r>
    <w:r w:rsidR="00DB36AA">
      <w:instrText xml:space="preserve"> PAGE   \* MERGEFORMAT </w:instrText>
    </w:r>
    <w:r w:rsidRPr="0067514F">
      <w:fldChar w:fldCharType="separate"/>
    </w:r>
    <w:r w:rsidR="007A5C5D" w:rsidRPr="007A5C5D">
      <w:rPr>
        <w:noProof/>
        <w:lang w:val="zh-CN"/>
      </w:rPr>
      <w:t>22</w:t>
    </w:r>
    <w:r>
      <w:rPr>
        <w:lang w:val="zh-CN"/>
      </w:rPr>
      <w:fldChar w:fldCharType="end"/>
    </w:r>
  </w:p>
  <w:p w:rsidR="000954C8" w:rsidRDefault="000954C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5E6B" w:rsidRDefault="009E5E6B" w:rsidP="000954C8">
      <w:r>
        <w:separator/>
      </w:r>
    </w:p>
  </w:footnote>
  <w:footnote w:type="continuationSeparator" w:id="1">
    <w:p w:rsidR="009E5E6B" w:rsidRDefault="009E5E6B" w:rsidP="000954C8">
      <w:r>
        <w:continuationSeparator/>
      </w:r>
    </w:p>
  </w:footnote>
  <w:footnote w:id="2">
    <w:p w:rsidR="000954C8" w:rsidRPr="008D0D1A" w:rsidRDefault="00826359">
      <w:pPr>
        <w:pStyle w:val="a7"/>
        <w:rPr>
          <w:rFonts w:ascii="楷体" w:eastAsia="楷体" w:hAnsi="楷体"/>
          <w:color w:val="000000" w:themeColor="text1"/>
          <w:sz w:val="21"/>
          <w:szCs w:val="21"/>
        </w:rPr>
      </w:pPr>
      <w:r w:rsidRPr="00826359">
        <w:rPr>
          <w:rStyle w:val="ae"/>
          <w:rFonts w:ascii="楷体" w:eastAsia="楷体" w:hAnsi="楷体"/>
          <w:color w:val="000000" w:themeColor="text1"/>
          <w:sz w:val="21"/>
          <w:szCs w:val="21"/>
        </w:rPr>
        <w:footnoteRef/>
      </w:r>
      <w:r w:rsidRPr="00826359">
        <w:rPr>
          <w:rFonts w:ascii="楷体" w:eastAsia="楷体" w:hAnsi="楷体" w:hint="eastAsia"/>
          <w:color w:val="000000" w:themeColor="text1"/>
          <w:sz w:val="21"/>
          <w:szCs w:val="21"/>
        </w:rPr>
        <w:t>课题组</w:t>
      </w:r>
      <w:r w:rsidR="0095538B">
        <w:rPr>
          <w:rFonts w:ascii="楷体" w:eastAsia="楷体" w:hAnsi="楷体" w:hint="eastAsia"/>
          <w:color w:val="000000" w:themeColor="text1"/>
          <w:sz w:val="21"/>
          <w:szCs w:val="21"/>
        </w:rPr>
        <w:t>负责人</w:t>
      </w:r>
      <w:r w:rsidRPr="00826359">
        <w:rPr>
          <w:rFonts w:ascii="楷体" w:eastAsia="楷体" w:hAnsi="楷体" w:hint="eastAsia"/>
          <w:color w:val="000000" w:themeColor="text1"/>
          <w:sz w:val="21"/>
          <w:szCs w:val="21"/>
        </w:rPr>
        <w:t>：徐建东</w:t>
      </w:r>
      <w:r w:rsidR="0095538B">
        <w:rPr>
          <w:rFonts w:ascii="楷体" w:eastAsia="楷体" w:hAnsi="楷体" w:hint="eastAsia"/>
          <w:color w:val="000000" w:themeColor="text1"/>
          <w:sz w:val="21"/>
          <w:szCs w:val="21"/>
        </w:rPr>
        <w:t>，江苏省苏州市相城区人民法院党组书记、院长。课题组成员：吴宏、金海龙、丁莉华、唐灿、丁雯雯、邓佳佳、潘李娜。执笔人：</w:t>
      </w:r>
      <w:r w:rsidR="000854F0">
        <w:rPr>
          <w:rFonts w:ascii="楷体" w:eastAsia="楷体" w:hAnsi="楷体" w:hint="eastAsia"/>
          <w:color w:val="000000" w:themeColor="text1"/>
          <w:sz w:val="21"/>
          <w:szCs w:val="21"/>
        </w:rPr>
        <w:t>吴宏，江苏省苏州市相城区人民法院党组副书记、副院长；</w:t>
      </w:r>
      <w:r w:rsidRPr="00826359">
        <w:rPr>
          <w:rFonts w:ascii="楷体" w:eastAsia="楷体" w:hAnsi="楷体" w:hint="eastAsia"/>
          <w:color w:val="000000" w:themeColor="text1"/>
          <w:sz w:val="21"/>
          <w:szCs w:val="21"/>
        </w:rPr>
        <w:t>金海龙</w:t>
      </w:r>
      <w:r w:rsidR="0095538B">
        <w:rPr>
          <w:rFonts w:ascii="楷体" w:eastAsia="楷体" w:hAnsi="楷体" w:hint="eastAsia"/>
          <w:color w:val="000000" w:themeColor="text1"/>
          <w:sz w:val="21"/>
          <w:szCs w:val="21"/>
        </w:rPr>
        <w:t>，江苏省苏州市相城区人民法院</w:t>
      </w:r>
      <w:r w:rsidR="00D719CB">
        <w:rPr>
          <w:rFonts w:ascii="楷体" w:eastAsia="楷体" w:hAnsi="楷体" w:hint="eastAsia"/>
          <w:color w:val="000000" w:themeColor="text1"/>
          <w:sz w:val="21"/>
          <w:szCs w:val="21"/>
        </w:rPr>
        <w:t>司法行政装备科科长</w:t>
      </w:r>
      <w:r w:rsidR="0095538B">
        <w:rPr>
          <w:rFonts w:ascii="楷体" w:eastAsia="楷体" w:hAnsi="楷体" w:hint="eastAsia"/>
          <w:color w:val="000000" w:themeColor="text1"/>
          <w:sz w:val="21"/>
          <w:szCs w:val="21"/>
        </w:rPr>
        <w:t>；丁莉华，江苏省苏州市相城区人民法院综合办公室主任；唐灿，江苏省苏州市相城区人民法院民二庭副庭长</w:t>
      </w:r>
      <w:r w:rsidR="008D0D1A">
        <w:rPr>
          <w:rFonts w:ascii="楷体" w:eastAsia="楷体" w:hAnsi="楷体" w:hint="eastAsia"/>
          <w:color w:val="000000" w:themeColor="text1"/>
          <w:sz w:val="21"/>
          <w:szCs w:val="21"/>
        </w:rPr>
        <w:t>。</w:t>
      </w:r>
    </w:p>
  </w:footnote>
  <w:footnote w:id="3">
    <w:p w:rsidR="000954C8" w:rsidRPr="008D0D1A" w:rsidRDefault="00826359">
      <w:pPr>
        <w:pStyle w:val="a7"/>
        <w:rPr>
          <w:rFonts w:ascii="宋体" w:hAnsi="宋体" w:cs="宋体"/>
          <w:sz w:val="21"/>
          <w:szCs w:val="21"/>
        </w:rPr>
      </w:pPr>
      <w:r w:rsidRPr="00826359">
        <w:rPr>
          <w:rStyle w:val="ae"/>
          <w:rFonts w:ascii="宋体" w:hAnsi="宋体"/>
          <w:sz w:val="21"/>
          <w:szCs w:val="21"/>
        </w:rPr>
        <w:footnoteRef/>
      </w:r>
      <w:r w:rsidRPr="00826359">
        <w:rPr>
          <w:rFonts w:ascii="宋体" w:hAnsi="宋体" w:cs="宋体" w:hint="eastAsia"/>
          <w:color w:val="333333"/>
          <w:sz w:val="21"/>
          <w:szCs w:val="21"/>
          <w:shd w:val="clear" w:color="auto" w:fill="FFFFFF"/>
        </w:rPr>
        <w:t>自</w:t>
      </w:r>
      <w:r w:rsidRPr="00826359">
        <w:rPr>
          <w:rFonts w:ascii="宋体" w:hAnsi="宋体" w:cs="宋体"/>
          <w:color w:val="333333"/>
          <w:sz w:val="21"/>
          <w:szCs w:val="21"/>
          <w:shd w:val="clear" w:color="auto" w:fill="FFFFFF"/>
        </w:rPr>
        <w:t>2015年5月1日起,</w:t>
      </w:r>
      <w:r w:rsidR="004A7490">
        <w:rPr>
          <w:rStyle w:val="ab"/>
          <w:rFonts w:ascii="宋体" w:hAnsi="宋体" w:cs="宋体" w:hint="eastAsia"/>
          <w:color w:val="000000" w:themeColor="text1"/>
          <w:sz w:val="21"/>
          <w:szCs w:val="21"/>
          <w:shd w:val="clear" w:color="auto" w:fill="FFFFFF"/>
        </w:rPr>
        <w:t>立案登记制</w:t>
      </w:r>
      <w:r w:rsidR="004A7490">
        <w:rPr>
          <w:rFonts w:ascii="宋体" w:hAnsi="宋体" w:cs="宋体" w:hint="eastAsia"/>
          <w:color w:val="333333"/>
          <w:sz w:val="21"/>
          <w:szCs w:val="21"/>
          <w:shd w:val="clear" w:color="auto" w:fill="FFFFFF"/>
        </w:rPr>
        <w:t>在全国法院系统全面施行。以最高人民法院工作报告中的数据为例，地方各级人民法院受理案件数从</w:t>
      </w:r>
      <w:r w:rsidR="004A7490">
        <w:rPr>
          <w:rFonts w:ascii="宋体" w:hAnsi="宋体" w:cs="宋体"/>
          <w:color w:val="333333"/>
          <w:sz w:val="21"/>
          <w:szCs w:val="21"/>
          <w:shd w:val="clear" w:color="auto" w:fill="FFFFFF"/>
        </w:rPr>
        <w:t>2015年的1951.1万件，2019年已攀升至</w:t>
      </w:r>
      <w:r w:rsidR="004A7490">
        <w:rPr>
          <w:rFonts w:ascii="宋体" w:hAnsi="宋体" w:cs="宋体"/>
          <w:color w:val="333333"/>
          <w:sz w:val="21"/>
          <w:szCs w:val="21"/>
        </w:rPr>
        <w:t>3156.7万件，4年增长了61.79%。</w:t>
      </w:r>
    </w:p>
  </w:footnote>
  <w:footnote w:id="4">
    <w:p w:rsidR="00181C06" w:rsidRPr="008D0D1A" w:rsidRDefault="00826359" w:rsidP="00181C06">
      <w:pPr>
        <w:pStyle w:val="a7"/>
        <w:rPr>
          <w:rFonts w:ascii="宋体" w:hAnsi="宋体"/>
          <w:sz w:val="21"/>
          <w:szCs w:val="21"/>
        </w:rPr>
      </w:pPr>
      <w:r w:rsidRPr="00826359">
        <w:rPr>
          <w:rStyle w:val="ae"/>
          <w:rFonts w:ascii="宋体" w:hAnsi="宋体"/>
          <w:sz w:val="21"/>
          <w:szCs w:val="21"/>
        </w:rPr>
        <w:footnoteRef/>
      </w:r>
      <w:r w:rsidRPr="00826359">
        <w:rPr>
          <w:rFonts w:ascii="宋体" w:hAnsi="宋体" w:hint="eastAsia"/>
          <w:sz w:val="21"/>
          <w:szCs w:val="21"/>
        </w:rPr>
        <w:t>罗恬漩：“司法改革背景下送达困境与出路——以</w:t>
      </w:r>
      <w:r w:rsidRPr="00826359">
        <w:rPr>
          <w:rFonts w:ascii="宋体" w:hAnsi="宋体"/>
          <w:sz w:val="21"/>
          <w:szCs w:val="21"/>
        </w:rPr>
        <w:t xml:space="preserve">G </w:t>
      </w:r>
      <w:r w:rsidRPr="00826359">
        <w:rPr>
          <w:rFonts w:ascii="宋体" w:hAnsi="宋体" w:hint="eastAsia"/>
          <w:sz w:val="21"/>
          <w:szCs w:val="21"/>
        </w:rPr>
        <w:t>省基层法院的送达实践为例”，载《当代法学》</w:t>
      </w:r>
      <w:r w:rsidRPr="00826359">
        <w:rPr>
          <w:rFonts w:ascii="宋体" w:hAnsi="宋体"/>
          <w:sz w:val="21"/>
          <w:szCs w:val="21"/>
        </w:rPr>
        <w:t>2017年</w:t>
      </w:r>
      <w:r w:rsidRPr="00826359">
        <w:rPr>
          <w:rFonts w:ascii="宋体" w:hAnsi="宋体" w:hint="eastAsia"/>
          <w:sz w:val="21"/>
          <w:szCs w:val="21"/>
        </w:rPr>
        <w:t>第</w:t>
      </w:r>
      <w:r w:rsidRPr="00826359">
        <w:rPr>
          <w:rFonts w:ascii="宋体" w:hAnsi="宋体"/>
          <w:sz w:val="21"/>
          <w:szCs w:val="21"/>
        </w:rPr>
        <w:t>3</w:t>
      </w:r>
      <w:r w:rsidRPr="00826359">
        <w:rPr>
          <w:rFonts w:ascii="宋体" w:hAnsi="宋体" w:hint="eastAsia"/>
          <w:sz w:val="21"/>
          <w:szCs w:val="21"/>
        </w:rPr>
        <w:t>期。</w:t>
      </w:r>
    </w:p>
  </w:footnote>
  <w:footnote w:id="5">
    <w:p w:rsidR="000954C8" w:rsidRPr="008D0D1A" w:rsidRDefault="00826359">
      <w:pPr>
        <w:pStyle w:val="a7"/>
        <w:rPr>
          <w:rFonts w:ascii="宋体" w:hAnsi="宋体"/>
          <w:sz w:val="21"/>
          <w:szCs w:val="21"/>
        </w:rPr>
      </w:pPr>
      <w:r w:rsidRPr="00826359">
        <w:rPr>
          <w:rStyle w:val="ae"/>
          <w:rFonts w:ascii="宋体" w:hAnsi="宋体"/>
          <w:sz w:val="21"/>
          <w:szCs w:val="21"/>
        </w:rPr>
        <w:footnoteRef/>
      </w:r>
      <w:r w:rsidRPr="00826359">
        <w:rPr>
          <w:rFonts w:ascii="宋体" w:hAnsi="宋体" w:hint="eastAsia"/>
          <w:sz w:val="21"/>
          <w:szCs w:val="21"/>
        </w:rPr>
        <w:t>范贞：“广东统一推行诉讼文书电子送达”，载</w:t>
      </w:r>
      <w:r w:rsidRPr="00826359">
        <w:rPr>
          <w:rFonts w:ascii="宋体" w:hAnsi="宋体"/>
          <w:sz w:val="21"/>
          <w:szCs w:val="21"/>
        </w:rPr>
        <w:t>2015</w:t>
      </w:r>
      <w:r w:rsidRPr="00826359">
        <w:rPr>
          <w:rFonts w:ascii="宋体" w:hAnsi="宋体" w:hint="eastAsia"/>
          <w:sz w:val="21"/>
          <w:szCs w:val="21"/>
        </w:rPr>
        <w:t>年</w:t>
      </w:r>
      <w:r w:rsidRPr="00826359">
        <w:rPr>
          <w:rFonts w:ascii="宋体" w:hAnsi="宋体"/>
          <w:sz w:val="21"/>
          <w:szCs w:val="21"/>
        </w:rPr>
        <w:t>1</w:t>
      </w:r>
      <w:r w:rsidRPr="00826359">
        <w:rPr>
          <w:rFonts w:ascii="宋体" w:hAnsi="宋体" w:hint="eastAsia"/>
          <w:sz w:val="21"/>
          <w:szCs w:val="21"/>
        </w:rPr>
        <w:t>月</w:t>
      </w:r>
      <w:r w:rsidRPr="00826359">
        <w:rPr>
          <w:rFonts w:ascii="宋体" w:hAnsi="宋体"/>
          <w:sz w:val="21"/>
          <w:szCs w:val="21"/>
        </w:rPr>
        <w:t>5</w:t>
      </w:r>
      <w:r w:rsidRPr="00826359">
        <w:rPr>
          <w:rFonts w:ascii="宋体" w:hAnsi="宋体" w:hint="eastAsia"/>
          <w:sz w:val="21"/>
          <w:szCs w:val="21"/>
        </w:rPr>
        <w:t>日《人民法院报》第</w:t>
      </w:r>
      <w:r w:rsidRPr="00826359">
        <w:rPr>
          <w:rFonts w:ascii="宋体" w:hAnsi="宋体"/>
          <w:sz w:val="21"/>
          <w:szCs w:val="21"/>
        </w:rPr>
        <w:t>4</w:t>
      </w:r>
      <w:r w:rsidRPr="00826359">
        <w:rPr>
          <w:rFonts w:ascii="宋体" w:hAnsi="宋体" w:hint="eastAsia"/>
          <w:sz w:val="21"/>
          <w:szCs w:val="21"/>
        </w:rPr>
        <w:t>版。</w:t>
      </w:r>
    </w:p>
  </w:footnote>
  <w:footnote w:id="6">
    <w:p w:rsidR="008663B5" w:rsidRPr="008D0D1A" w:rsidRDefault="00826359" w:rsidP="008663B5">
      <w:pPr>
        <w:pStyle w:val="a7"/>
        <w:rPr>
          <w:rFonts w:ascii="宋体" w:hAnsi="宋体"/>
          <w:sz w:val="21"/>
          <w:szCs w:val="21"/>
        </w:rPr>
      </w:pPr>
      <w:r w:rsidRPr="00826359">
        <w:rPr>
          <w:rStyle w:val="ae"/>
          <w:rFonts w:ascii="宋体" w:hAnsi="宋体"/>
          <w:sz w:val="21"/>
          <w:szCs w:val="21"/>
        </w:rPr>
        <w:footnoteRef/>
      </w:r>
      <w:r w:rsidRPr="00826359">
        <w:rPr>
          <w:rFonts w:ascii="宋体" w:hAnsi="宋体" w:hint="eastAsia"/>
          <w:sz w:val="21"/>
          <w:szCs w:val="21"/>
        </w:rPr>
        <w:t>胡超挺：“民事诉讼法律文书</w:t>
      </w:r>
      <w:r w:rsidR="009C3D02">
        <w:rPr>
          <w:rFonts w:ascii="宋体" w:hAnsi="宋体" w:hint="eastAsia"/>
          <w:sz w:val="21"/>
          <w:szCs w:val="21"/>
        </w:rPr>
        <w:t>‘</w:t>
      </w:r>
      <w:r w:rsidR="009C3D02" w:rsidRPr="00826359">
        <w:rPr>
          <w:rFonts w:ascii="宋体" w:hAnsi="宋体" w:hint="eastAsia"/>
          <w:sz w:val="21"/>
          <w:szCs w:val="21"/>
        </w:rPr>
        <w:t>送达难</w:t>
      </w:r>
      <w:r w:rsidR="009C3D02">
        <w:rPr>
          <w:rFonts w:ascii="宋体" w:hAnsi="宋体" w:hint="eastAsia"/>
          <w:sz w:val="21"/>
          <w:szCs w:val="21"/>
        </w:rPr>
        <w:t>’</w:t>
      </w:r>
      <w:r w:rsidRPr="00826359">
        <w:rPr>
          <w:rFonts w:ascii="宋体" w:hAnsi="宋体" w:hint="eastAsia"/>
          <w:sz w:val="21"/>
          <w:szCs w:val="21"/>
        </w:rPr>
        <w:t>的原因及对策</w:t>
      </w:r>
      <w:r w:rsidR="009C3D02">
        <w:rPr>
          <w:rFonts w:ascii="宋体" w:hAnsi="宋体" w:hint="eastAsia"/>
          <w:sz w:val="21"/>
          <w:szCs w:val="21"/>
        </w:rPr>
        <w:t>”</w:t>
      </w:r>
      <w:r w:rsidRPr="00826359">
        <w:rPr>
          <w:rFonts w:ascii="宋体" w:hAnsi="宋体" w:hint="eastAsia"/>
          <w:sz w:val="21"/>
          <w:szCs w:val="21"/>
        </w:rPr>
        <w:t>，载《法制与社会》2020年第3期。</w:t>
      </w:r>
    </w:p>
  </w:footnote>
  <w:footnote w:id="7">
    <w:p w:rsidR="001138F6" w:rsidRPr="008D0D1A" w:rsidRDefault="00826359" w:rsidP="001138F6">
      <w:pPr>
        <w:pStyle w:val="a7"/>
        <w:rPr>
          <w:rFonts w:ascii="宋体" w:hAnsi="宋体"/>
          <w:sz w:val="21"/>
          <w:szCs w:val="21"/>
        </w:rPr>
      </w:pPr>
      <w:r w:rsidRPr="00826359">
        <w:rPr>
          <w:rStyle w:val="ae"/>
          <w:rFonts w:ascii="宋体" w:hAnsi="宋体"/>
          <w:sz w:val="21"/>
          <w:szCs w:val="21"/>
        </w:rPr>
        <w:footnoteRef/>
      </w:r>
      <w:r w:rsidRPr="00826359">
        <w:rPr>
          <w:rFonts w:ascii="宋体" w:hAnsi="宋体" w:hint="eastAsia"/>
          <w:sz w:val="21"/>
          <w:szCs w:val="21"/>
        </w:rPr>
        <w:t xml:space="preserve">吴逸，裴崇毅: </w:t>
      </w:r>
      <w:r w:rsidRPr="00826359">
        <w:rPr>
          <w:rFonts w:ascii="宋体" w:hAnsi="宋体"/>
          <w:sz w:val="21"/>
          <w:szCs w:val="21"/>
        </w:rPr>
        <w:t>“</w:t>
      </w:r>
      <w:r w:rsidRPr="00826359">
        <w:rPr>
          <w:rFonts w:ascii="宋体" w:hAnsi="宋体" w:hint="eastAsia"/>
          <w:sz w:val="21"/>
          <w:szCs w:val="21"/>
        </w:rPr>
        <w:t>我国民事诉讼电子送达的法律问题研究———以杭州互联网法院诉讼规程汇编为例</w:t>
      </w:r>
      <w:r w:rsidRPr="00826359">
        <w:rPr>
          <w:rFonts w:ascii="宋体" w:hAnsi="宋体"/>
          <w:sz w:val="21"/>
          <w:szCs w:val="21"/>
        </w:rPr>
        <w:t>”,</w:t>
      </w:r>
      <w:r w:rsidRPr="00826359">
        <w:rPr>
          <w:rFonts w:ascii="宋体" w:hAnsi="宋体" w:hint="eastAsia"/>
          <w:sz w:val="21"/>
          <w:szCs w:val="21"/>
        </w:rPr>
        <w:t>载《北京邮电大学学报(社会科学版)》2</w:t>
      </w:r>
      <w:r w:rsidR="009C3D02">
        <w:rPr>
          <w:rFonts w:ascii="宋体" w:hAnsi="宋体"/>
          <w:sz w:val="21"/>
          <w:szCs w:val="21"/>
        </w:rPr>
        <w:t>018</w:t>
      </w:r>
      <w:r w:rsidRPr="00826359">
        <w:rPr>
          <w:rFonts w:ascii="宋体" w:hAnsi="宋体" w:hint="eastAsia"/>
          <w:sz w:val="21"/>
          <w:szCs w:val="21"/>
        </w:rPr>
        <w:t>年10月第20卷第5期。</w:t>
      </w:r>
    </w:p>
  </w:footnote>
  <w:footnote w:id="8">
    <w:p w:rsidR="00E4391A" w:rsidRPr="008D0D1A" w:rsidRDefault="00826359">
      <w:pPr>
        <w:pStyle w:val="a7"/>
        <w:rPr>
          <w:rFonts w:ascii="宋体" w:hAnsi="宋体"/>
          <w:sz w:val="21"/>
          <w:szCs w:val="21"/>
        </w:rPr>
      </w:pPr>
      <w:r w:rsidRPr="00826359">
        <w:rPr>
          <w:rStyle w:val="ae"/>
          <w:rFonts w:ascii="宋体" w:hAnsi="宋体"/>
          <w:sz w:val="21"/>
          <w:szCs w:val="21"/>
        </w:rPr>
        <w:footnoteRef/>
      </w:r>
      <w:r w:rsidRPr="00826359">
        <w:rPr>
          <w:rFonts w:ascii="宋体" w:hAnsi="宋体" w:hint="eastAsia"/>
          <w:sz w:val="21"/>
          <w:szCs w:val="21"/>
        </w:rPr>
        <w:t>郑世保：</w:t>
      </w:r>
      <w:r w:rsidR="009C3D02">
        <w:rPr>
          <w:rFonts w:ascii="宋体" w:hAnsi="宋体" w:hint="eastAsia"/>
          <w:sz w:val="21"/>
          <w:szCs w:val="21"/>
        </w:rPr>
        <w:t>“</w:t>
      </w:r>
      <w:r w:rsidR="009C3D02" w:rsidRPr="00826359">
        <w:rPr>
          <w:rFonts w:ascii="宋体" w:hAnsi="宋体" w:hint="eastAsia"/>
          <w:sz w:val="21"/>
          <w:szCs w:val="21"/>
        </w:rPr>
        <w:t>电子民事诉讼行为研究</w:t>
      </w:r>
      <w:r w:rsidR="009C3D02">
        <w:rPr>
          <w:rFonts w:ascii="宋体" w:hAnsi="宋体" w:hint="eastAsia"/>
          <w:sz w:val="21"/>
          <w:szCs w:val="21"/>
        </w:rPr>
        <w:t>”，法律出版社</w:t>
      </w:r>
      <w:r w:rsidRPr="00826359">
        <w:rPr>
          <w:rFonts w:ascii="宋体" w:hAnsi="宋体" w:hint="eastAsia"/>
          <w:sz w:val="21"/>
          <w:szCs w:val="21"/>
        </w:rPr>
        <w:t>2016版，第244页。</w:t>
      </w:r>
    </w:p>
  </w:footnote>
  <w:footnote w:id="9">
    <w:p w:rsidR="00E4391A" w:rsidRPr="008D0D1A" w:rsidRDefault="00826359">
      <w:pPr>
        <w:pStyle w:val="a7"/>
        <w:rPr>
          <w:rFonts w:ascii="宋体" w:hAnsi="宋体"/>
          <w:sz w:val="21"/>
          <w:szCs w:val="21"/>
        </w:rPr>
      </w:pPr>
      <w:r w:rsidRPr="00826359">
        <w:rPr>
          <w:rStyle w:val="ae"/>
          <w:rFonts w:ascii="楷体" w:eastAsia="楷体" w:hAnsi="楷体"/>
        </w:rPr>
        <w:footnoteRef/>
      </w:r>
      <w:r w:rsidRPr="00826359">
        <w:rPr>
          <w:rFonts w:ascii="宋体" w:hAnsi="宋体" w:hint="eastAsia"/>
          <w:sz w:val="21"/>
          <w:szCs w:val="21"/>
        </w:rPr>
        <w:t>刘向琼、刘鸣君：“论我国民事诉讼电子送达制度的现状及其完善”，载《法律适用》2018年第3期。</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4C8" w:rsidRDefault="000954C8">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915C3"/>
    <w:multiLevelType w:val="multilevel"/>
    <w:tmpl w:val="12E915C3"/>
    <w:lvl w:ilvl="0">
      <w:start w:val="1"/>
      <w:numFmt w:val="decimal"/>
      <w:lvlText w:val="%1."/>
      <w:lvlJc w:val="left"/>
      <w:pPr>
        <w:ind w:left="990" w:hanging="36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indows 用户">
    <w15:presenceInfo w15:providerId="None" w15:userId="Windows 用户"/>
  </w15:person>
  <w15:person w15:author="9527">
    <w15:presenceInfo w15:providerId="WPS Office" w15:userId="175711235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noPunctuationKerning/>
  <w:characterSpacingControl w:val="compressPunctuation"/>
  <w:noLineBreaksAfter w:lang="zh-CN" w:val="$([{£¥·‘“〈《「『【〔〖〝﹙﹛﹝＄（．［｛￡￥"/>
  <w:noLineBreaksBefore w:lang="zh-CN" w:val="!%),.:;&gt;?]}¢¨°·ˇˉ―‖’”…‰′″›℃∶、。〃〉》」』】〕〗〞︶︺︾﹀﹄﹚﹜﹞！＂％＇），．：；？］｀｜｝～￠"/>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
  <w:rsids>
    <w:rsidRoot w:val="001E008B"/>
    <w:rsid w:val="00021A34"/>
    <w:rsid w:val="000433C1"/>
    <w:rsid w:val="00057D33"/>
    <w:rsid w:val="00061015"/>
    <w:rsid w:val="00062733"/>
    <w:rsid w:val="00062BA8"/>
    <w:rsid w:val="00080D03"/>
    <w:rsid w:val="00081BC4"/>
    <w:rsid w:val="000854F0"/>
    <w:rsid w:val="000954C8"/>
    <w:rsid w:val="000A0997"/>
    <w:rsid w:val="000B387A"/>
    <w:rsid w:val="000C145C"/>
    <w:rsid w:val="000C6162"/>
    <w:rsid w:val="000E0F2C"/>
    <w:rsid w:val="000E7830"/>
    <w:rsid w:val="001138F6"/>
    <w:rsid w:val="00115E00"/>
    <w:rsid w:val="001269A8"/>
    <w:rsid w:val="00152E0D"/>
    <w:rsid w:val="00153C4E"/>
    <w:rsid w:val="0015496A"/>
    <w:rsid w:val="00155C15"/>
    <w:rsid w:val="001645B8"/>
    <w:rsid w:val="001755D1"/>
    <w:rsid w:val="00175C21"/>
    <w:rsid w:val="00181C06"/>
    <w:rsid w:val="001C11CD"/>
    <w:rsid w:val="001C7ACD"/>
    <w:rsid w:val="001D71C9"/>
    <w:rsid w:val="001E008B"/>
    <w:rsid w:val="001E74C9"/>
    <w:rsid w:val="00210003"/>
    <w:rsid w:val="0022316C"/>
    <w:rsid w:val="0022512C"/>
    <w:rsid w:val="00227001"/>
    <w:rsid w:val="00255D25"/>
    <w:rsid w:val="00267048"/>
    <w:rsid w:val="0027363C"/>
    <w:rsid w:val="00273F46"/>
    <w:rsid w:val="00274910"/>
    <w:rsid w:val="00276A08"/>
    <w:rsid w:val="00287FC2"/>
    <w:rsid w:val="00292CEC"/>
    <w:rsid w:val="002B2D45"/>
    <w:rsid w:val="002C4192"/>
    <w:rsid w:val="002D506D"/>
    <w:rsid w:val="002E2A66"/>
    <w:rsid w:val="002F4F36"/>
    <w:rsid w:val="002F7BBD"/>
    <w:rsid w:val="003030EC"/>
    <w:rsid w:val="003037C2"/>
    <w:rsid w:val="0031199D"/>
    <w:rsid w:val="0031360E"/>
    <w:rsid w:val="003152AF"/>
    <w:rsid w:val="003312BC"/>
    <w:rsid w:val="00332B46"/>
    <w:rsid w:val="003539A4"/>
    <w:rsid w:val="00360EDC"/>
    <w:rsid w:val="003728FA"/>
    <w:rsid w:val="00373157"/>
    <w:rsid w:val="00375D07"/>
    <w:rsid w:val="003A559E"/>
    <w:rsid w:val="003D5D4C"/>
    <w:rsid w:val="003D6B20"/>
    <w:rsid w:val="003F0D87"/>
    <w:rsid w:val="00427047"/>
    <w:rsid w:val="00435ECB"/>
    <w:rsid w:val="00442260"/>
    <w:rsid w:val="0045016E"/>
    <w:rsid w:val="00462FF8"/>
    <w:rsid w:val="004712C7"/>
    <w:rsid w:val="0047377D"/>
    <w:rsid w:val="00476BEF"/>
    <w:rsid w:val="00482B5F"/>
    <w:rsid w:val="004839B3"/>
    <w:rsid w:val="004A3375"/>
    <w:rsid w:val="004A7490"/>
    <w:rsid w:val="004B2DE9"/>
    <w:rsid w:val="004C43D6"/>
    <w:rsid w:val="004C5972"/>
    <w:rsid w:val="004D58D8"/>
    <w:rsid w:val="004D65E5"/>
    <w:rsid w:val="004F577A"/>
    <w:rsid w:val="005115B8"/>
    <w:rsid w:val="00515D23"/>
    <w:rsid w:val="0052290B"/>
    <w:rsid w:val="00530A28"/>
    <w:rsid w:val="00530AFD"/>
    <w:rsid w:val="005356BB"/>
    <w:rsid w:val="005438C3"/>
    <w:rsid w:val="00555B2D"/>
    <w:rsid w:val="005715B0"/>
    <w:rsid w:val="0059513E"/>
    <w:rsid w:val="005B0997"/>
    <w:rsid w:val="005B1D4E"/>
    <w:rsid w:val="005B2B6E"/>
    <w:rsid w:val="005B3C69"/>
    <w:rsid w:val="005C0C06"/>
    <w:rsid w:val="005C5469"/>
    <w:rsid w:val="005E6547"/>
    <w:rsid w:val="0062709F"/>
    <w:rsid w:val="006407A6"/>
    <w:rsid w:val="00641112"/>
    <w:rsid w:val="006437E9"/>
    <w:rsid w:val="00667724"/>
    <w:rsid w:val="0067514F"/>
    <w:rsid w:val="0067521F"/>
    <w:rsid w:val="006778B4"/>
    <w:rsid w:val="006804AA"/>
    <w:rsid w:val="0068411E"/>
    <w:rsid w:val="006A151F"/>
    <w:rsid w:val="006B0D9B"/>
    <w:rsid w:val="006E178B"/>
    <w:rsid w:val="006F349B"/>
    <w:rsid w:val="00706537"/>
    <w:rsid w:val="00740F44"/>
    <w:rsid w:val="0075551A"/>
    <w:rsid w:val="00756B7C"/>
    <w:rsid w:val="0076089F"/>
    <w:rsid w:val="007668FB"/>
    <w:rsid w:val="007674FB"/>
    <w:rsid w:val="007700BF"/>
    <w:rsid w:val="00794175"/>
    <w:rsid w:val="007A3391"/>
    <w:rsid w:val="007A5C5D"/>
    <w:rsid w:val="007B0A4B"/>
    <w:rsid w:val="007C0D14"/>
    <w:rsid w:val="007C6B5A"/>
    <w:rsid w:val="007D4E30"/>
    <w:rsid w:val="007E5686"/>
    <w:rsid w:val="007E6417"/>
    <w:rsid w:val="007F7818"/>
    <w:rsid w:val="007F7B8B"/>
    <w:rsid w:val="00803C46"/>
    <w:rsid w:val="008211CA"/>
    <w:rsid w:val="00826359"/>
    <w:rsid w:val="00835A8F"/>
    <w:rsid w:val="00836352"/>
    <w:rsid w:val="00836803"/>
    <w:rsid w:val="00843718"/>
    <w:rsid w:val="008530BA"/>
    <w:rsid w:val="00856F5E"/>
    <w:rsid w:val="00857BE3"/>
    <w:rsid w:val="0086182B"/>
    <w:rsid w:val="008663B5"/>
    <w:rsid w:val="0087737A"/>
    <w:rsid w:val="008921F1"/>
    <w:rsid w:val="00894FF4"/>
    <w:rsid w:val="00897488"/>
    <w:rsid w:val="008B29B1"/>
    <w:rsid w:val="008C2AFE"/>
    <w:rsid w:val="008D0D1A"/>
    <w:rsid w:val="0090027A"/>
    <w:rsid w:val="009017EA"/>
    <w:rsid w:val="0091043F"/>
    <w:rsid w:val="0091685B"/>
    <w:rsid w:val="009302D1"/>
    <w:rsid w:val="0095538B"/>
    <w:rsid w:val="00956C93"/>
    <w:rsid w:val="0096246D"/>
    <w:rsid w:val="00962CD7"/>
    <w:rsid w:val="00976B80"/>
    <w:rsid w:val="0099501A"/>
    <w:rsid w:val="009A2828"/>
    <w:rsid w:val="009A6991"/>
    <w:rsid w:val="009C056D"/>
    <w:rsid w:val="009C14AC"/>
    <w:rsid w:val="009C3D02"/>
    <w:rsid w:val="009E44C2"/>
    <w:rsid w:val="009E5E6B"/>
    <w:rsid w:val="009F180F"/>
    <w:rsid w:val="009F4C1C"/>
    <w:rsid w:val="00A47D88"/>
    <w:rsid w:val="00A70B67"/>
    <w:rsid w:val="00A8489F"/>
    <w:rsid w:val="00AB26EA"/>
    <w:rsid w:val="00AB78E0"/>
    <w:rsid w:val="00AE10C0"/>
    <w:rsid w:val="00B05E71"/>
    <w:rsid w:val="00B34B4E"/>
    <w:rsid w:val="00BA4575"/>
    <w:rsid w:val="00BB5955"/>
    <w:rsid w:val="00BC23C7"/>
    <w:rsid w:val="00BE2D20"/>
    <w:rsid w:val="00BE7DDB"/>
    <w:rsid w:val="00C052E2"/>
    <w:rsid w:val="00C61EED"/>
    <w:rsid w:val="00C669B9"/>
    <w:rsid w:val="00C77AE8"/>
    <w:rsid w:val="00C8547B"/>
    <w:rsid w:val="00C9086D"/>
    <w:rsid w:val="00C93445"/>
    <w:rsid w:val="00CB29B7"/>
    <w:rsid w:val="00CC1F50"/>
    <w:rsid w:val="00CD046F"/>
    <w:rsid w:val="00CD2CC5"/>
    <w:rsid w:val="00D01365"/>
    <w:rsid w:val="00D01CAB"/>
    <w:rsid w:val="00D12B70"/>
    <w:rsid w:val="00D14090"/>
    <w:rsid w:val="00D20538"/>
    <w:rsid w:val="00D57D0E"/>
    <w:rsid w:val="00D719CB"/>
    <w:rsid w:val="00D7531D"/>
    <w:rsid w:val="00D8337C"/>
    <w:rsid w:val="00D870F5"/>
    <w:rsid w:val="00DA5E69"/>
    <w:rsid w:val="00DB256D"/>
    <w:rsid w:val="00DB36AA"/>
    <w:rsid w:val="00DB7D9C"/>
    <w:rsid w:val="00DC34BA"/>
    <w:rsid w:val="00DD3FF5"/>
    <w:rsid w:val="00DE0652"/>
    <w:rsid w:val="00DF24B7"/>
    <w:rsid w:val="00E00525"/>
    <w:rsid w:val="00E0450D"/>
    <w:rsid w:val="00E04C12"/>
    <w:rsid w:val="00E23FFC"/>
    <w:rsid w:val="00E24BF2"/>
    <w:rsid w:val="00E37894"/>
    <w:rsid w:val="00E4391A"/>
    <w:rsid w:val="00E90083"/>
    <w:rsid w:val="00E95A71"/>
    <w:rsid w:val="00EA12F8"/>
    <w:rsid w:val="00EA7640"/>
    <w:rsid w:val="00EA7CCC"/>
    <w:rsid w:val="00ED0AF8"/>
    <w:rsid w:val="00ED3291"/>
    <w:rsid w:val="00EE115A"/>
    <w:rsid w:val="00F15B51"/>
    <w:rsid w:val="00F16525"/>
    <w:rsid w:val="00F270F4"/>
    <w:rsid w:val="00F279AD"/>
    <w:rsid w:val="00F3213D"/>
    <w:rsid w:val="00F43F42"/>
    <w:rsid w:val="00F93A81"/>
    <w:rsid w:val="00FA4819"/>
    <w:rsid w:val="00FC3696"/>
    <w:rsid w:val="00FE01A1"/>
    <w:rsid w:val="00FE261D"/>
    <w:rsid w:val="00FE2F05"/>
    <w:rsid w:val="02D046DA"/>
    <w:rsid w:val="06BE4670"/>
    <w:rsid w:val="08162141"/>
    <w:rsid w:val="084209BA"/>
    <w:rsid w:val="0BBC0EC1"/>
    <w:rsid w:val="0F2307FD"/>
    <w:rsid w:val="108D37E0"/>
    <w:rsid w:val="1AD33B85"/>
    <w:rsid w:val="1BBD3C14"/>
    <w:rsid w:val="234F01BC"/>
    <w:rsid w:val="2D90482A"/>
    <w:rsid w:val="3242035A"/>
    <w:rsid w:val="366D346E"/>
    <w:rsid w:val="3A684509"/>
    <w:rsid w:val="3BD225E0"/>
    <w:rsid w:val="3E3662BA"/>
    <w:rsid w:val="41231A51"/>
    <w:rsid w:val="45055661"/>
    <w:rsid w:val="468F475A"/>
    <w:rsid w:val="47BC04C6"/>
    <w:rsid w:val="47C50F1F"/>
    <w:rsid w:val="4AD24EB3"/>
    <w:rsid w:val="4B9D671D"/>
    <w:rsid w:val="521E0E7D"/>
    <w:rsid w:val="58D162A1"/>
    <w:rsid w:val="5B4F7593"/>
    <w:rsid w:val="5E1E1FC8"/>
    <w:rsid w:val="61277875"/>
    <w:rsid w:val="64714669"/>
    <w:rsid w:val="680A5334"/>
    <w:rsid w:val="6D006C23"/>
    <w:rsid w:val="6DB422BD"/>
    <w:rsid w:val="6FF86981"/>
    <w:rsid w:val="708357EA"/>
    <w:rsid w:val="710D23C3"/>
    <w:rsid w:val="715F3EB3"/>
    <w:rsid w:val="746878DC"/>
    <w:rsid w:val="7A4655A5"/>
    <w:rsid w:val="7EF164D9"/>
    <w:rsid w:val="7FDF14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nhideWhenUsed="0"/>
    <w:lsdException w:name="header" w:unhideWhenUsed="0"/>
    <w:lsdException w:name="footer" w:semiHidden="0" w:unhideWhenUsed="0"/>
    <w:lsdException w:name="caption" w:locked="1" w:uiPriority="0" w:qFormat="1"/>
    <w:lsdException w:name="footnote reference" w:unhideWhenUsed="0"/>
    <w:lsdException w:name="Title" w:locked="1" w:semiHidden="0" w:uiPriority="0" w:unhideWhenUsed="0" w:qFormat="1"/>
    <w:lsdException w:name="Default Paragraph Font" w:uiPriority="1"/>
    <w:lsdException w:name="Subtitle" w:locked="1" w:semiHidden="0" w:uiPriority="0" w:unhideWhenUsed="0" w:qFormat="1"/>
    <w:lsdException w:name="Strong" w:semiHidden="0" w:unhideWhenUsed="0" w:qFormat="1"/>
    <w:lsdException w:name="Emphasis" w:locked="1" w:semiHidden="0" w:uiPriority="0"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A28"/>
    <w:pPr>
      <w:widowControl w:val="0"/>
      <w:jc w:val="both"/>
    </w:pPr>
    <w:rPr>
      <w:rFonts w:ascii="Calibri" w:hAnsi="Calibri"/>
      <w:kern w:val="2"/>
      <w:sz w:val="21"/>
      <w:szCs w:val="22"/>
    </w:rPr>
  </w:style>
  <w:style w:type="paragraph" w:styleId="1">
    <w:name w:val="heading 1"/>
    <w:basedOn w:val="a"/>
    <w:next w:val="a"/>
    <w:qFormat/>
    <w:locked/>
    <w:rsid w:val="000954C8"/>
    <w:pPr>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rsid w:val="000954C8"/>
    <w:pPr>
      <w:jc w:val="left"/>
    </w:pPr>
  </w:style>
  <w:style w:type="paragraph" w:styleId="a4">
    <w:name w:val="Balloon Text"/>
    <w:basedOn w:val="a"/>
    <w:link w:val="Char0"/>
    <w:uiPriority w:val="99"/>
    <w:semiHidden/>
    <w:unhideWhenUsed/>
    <w:rsid w:val="000954C8"/>
    <w:rPr>
      <w:sz w:val="18"/>
      <w:szCs w:val="18"/>
    </w:rPr>
  </w:style>
  <w:style w:type="paragraph" w:styleId="a5">
    <w:name w:val="footer"/>
    <w:basedOn w:val="a"/>
    <w:link w:val="Char1"/>
    <w:uiPriority w:val="99"/>
    <w:rsid w:val="000954C8"/>
    <w:pPr>
      <w:tabs>
        <w:tab w:val="center" w:pos="4153"/>
        <w:tab w:val="right" w:pos="8306"/>
      </w:tabs>
      <w:snapToGrid w:val="0"/>
      <w:jc w:val="left"/>
    </w:pPr>
    <w:rPr>
      <w:sz w:val="18"/>
      <w:szCs w:val="18"/>
    </w:rPr>
  </w:style>
  <w:style w:type="paragraph" w:styleId="a6">
    <w:name w:val="header"/>
    <w:basedOn w:val="a"/>
    <w:link w:val="Char2"/>
    <w:uiPriority w:val="99"/>
    <w:semiHidden/>
    <w:rsid w:val="000954C8"/>
    <w:pPr>
      <w:pBdr>
        <w:bottom w:val="single" w:sz="6" w:space="1" w:color="auto"/>
      </w:pBdr>
      <w:tabs>
        <w:tab w:val="center" w:pos="4153"/>
        <w:tab w:val="right" w:pos="8306"/>
      </w:tabs>
      <w:snapToGrid w:val="0"/>
      <w:jc w:val="center"/>
    </w:pPr>
    <w:rPr>
      <w:sz w:val="18"/>
      <w:szCs w:val="18"/>
    </w:rPr>
  </w:style>
  <w:style w:type="paragraph" w:styleId="a7">
    <w:name w:val="footnote text"/>
    <w:basedOn w:val="a"/>
    <w:link w:val="Char3"/>
    <w:uiPriority w:val="99"/>
    <w:semiHidden/>
    <w:rsid w:val="000954C8"/>
    <w:pPr>
      <w:snapToGrid w:val="0"/>
      <w:jc w:val="left"/>
    </w:pPr>
    <w:rPr>
      <w:sz w:val="18"/>
      <w:szCs w:val="18"/>
    </w:rPr>
  </w:style>
  <w:style w:type="paragraph" w:styleId="a8">
    <w:name w:val="annotation subject"/>
    <w:basedOn w:val="a3"/>
    <w:next w:val="a3"/>
    <w:link w:val="Char4"/>
    <w:uiPriority w:val="99"/>
    <w:semiHidden/>
    <w:unhideWhenUsed/>
    <w:rsid w:val="000954C8"/>
    <w:rPr>
      <w:b/>
      <w:bCs/>
    </w:rPr>
  </w:style>
  <w:style w:type="character" w:styleId="a9">
    <w:name w:val="Strong"/>
    <w:uiPriority w:val="99"/>
    <w:qFormat/>
    <w:rsid w:val="000954C8"/>
    <w:rPr>
      <w:rFonts w:cs="Times New Roman"/>
      <w:b/>
    </w:rPr>
  </w:style>
  <w:style w:type="character" w:styleId="aa">
    <w:name w:val="FollowedHyperlink"/>
    <w:basedOn w:val="a0"/>
    <w:uiPriority w:val="99"/>
    <w:semiHidden/>
    <w:unhideWhenUsed/>
    <w:rsid w:val="000954C8"/>
    <w:rPr>
      <w:color w:val="005C81"/>
      <w:u w:val="none"/>
    </w:rPr>
  </w:style>
  <w:style w:type="character" w:styleId="ab">
    <w:name w:val="Emphasis"/>
    <w:basedOn w:val="a0"/>
    <w:qFormat/>
    <w:locked/>
    <w:rsid w:val="000954C8"/>
  </w:style>
  <w:style w:type="character" w:styleId="ac">
    <w:name w:val="Hyperlink"/>
    <w:basedOn w:val="a0"/>
    <w:uiPriority w:val="99"/>
    <w:semiHidden/>
    <w:unhideWhenUsed/>
    <w:rsid w:val="000954C8"/>
    <w:rPr>
      <w:color w:val="005C81"/>
      <w:u w:val="none"/>
    </w:rPr>
  </w:style>
  <w:style w:type="character" w:styleId="ad">
    <w:name w:val="annotation reference"/>
    <w:uiPriority w:val="99"/>
    <w:semiHidden/>
    <w:unhideWhenUsed/>
    <w:rsid w:val="000954C8"/>
    <w:rPr>
      <w:sz w:val="21"/>
      <w:szCs w:val="21"/>
    </w:rPr>
  </w:style>
  <w:style w:type="character" w:styleId="ae">
    <w:name w:val="footnote reference"/>
    <w:uiPriority w:val="99"/>
    <w:semiHidden/>
    <w:rsid w:val="000954C8"/>
    <w:rPr>
      <w:rFonts w:cs="Times New Roman"/>
      <w:vertAlign w:val="superscript"/>
    </w:rPr>
  </w:style>
  <w:style w:type="character" w:customStyle="1" w:styleId="Char1">
    <w:name w:val="页脚 Char"/>
    <w:link w:val="a5"/>
    <w:uiPriority w:val="99"/>
    <w:locked/>
    <w:rsid w:val="000954C8"/>
    <w:rPr>
      <w:rFonts w:cs="Times New Roman"/>
      <w:sz w:val="18"/>
      <w:szCs w:val="18"/>
    </w:rPr>
  </w:style>
  <w:style w:type="character" w:customStyle="1" w:styleId="Char2">
    <w:name w:val="页眉 Char"/>
    <w:link w:val="a6"/>
    <w:uiPriority w:val="99"/>
    <w:semiHidden/>
    <w:locked/>
    <w:rsid w:val="000954C8"/>
    <w:rPr>
      <w:rFonts w:cs="Times New Roman"/>
      <w:sz w:val="18"/>
      <w:szCs w:val="18"/>
    </w:rPr>
  </w:style>
  <w:style w:type="character" w:customStyle="1" w:styleId="Char3">
    <w:name w:val="脚注文本 Char"/>
    <w:link w:val="a7"/>
    <w:uiPriority w:val="99"/>
    <w:semiHidden/>
    <w:locked/>
    <w:rsid w:val="000954C8"/>
    <w:rPr>
      <w:rFonts w:cs="Times New Roman"/>
      <w:sz w:val="18"/>
      <w:szCs w:val="18"/>
    </w:rPr>
  </w:style>
  <w:style w:type="character" w:customStyle="1" w:styleId="Char">
    <w:name w:val="批注文字 Char"/>
    <w:link w:val="a3"/>
    <w:uiPriority w:val="99"/>
    <w:semiHidden/>
    <w:rsid w:val="000954C8"/>
    <w:rPr>
      <w:rFonts w:ascii="Calibri" w:hAnsi="Calibri"/>
      <w:kern w:val="2"/>
      <w:sz w:val="21"/>
      <w:szCs w:val="22"/>
    </w:rPr>
  </w:style>
  <w:style w:type="character" w:customStyle="1" w:styleId="Char4">
    <w:name w:val="批注主题 Char"/>
    <w:link w:val="a8"/>
    <w:uiPriority w:val="99"/>
    <w:semiHidden/>
    <w:rsid w:val="000954C8"/>
    <w:rPr>
      <w:rFonts w:ascii="Calibri" w:hAnsi="Calibri"/>
      <w:b/>
      <w:bCs/>
      <w:kern w:val="2"/>
      <w:sz w:val="21"/>
      <w:szCs w:val="22"/>
    </w:rPr>
  </w:style>
  <w:style w:type="character" w:customStyle="1" w:styleId="Char0">
    <w:name w:val="批注框文本 Char"/>
    <w:link w:val="a4"/>
    <w:uiPriority w:val="99"/>
    <w:semiHidden/>
    <w:rsid w:val="000954C8"/>
    <w:rPr>
      <w:rFonts w:ascii="Calibri" w:hAnsi="Calibri"/>
      <w:kern w:val="2"/>
      <w:sz w:val="18"/>
      <w:szCs w:val="18"/>
    </w:rPr>
  </w:style>
  <w:style w:type="paragraph" w:styleId="af">
    <w:name w:val="List Paragraph"/>
    <w:basedOn w:val="a"/>
    <w:uiPriority w:val="99"/>
    <w:unhideWhenUsed/>
    <w:rsid w:val="000854F0"/>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microsoft.com/office/2011/relationships/commentsExtended" Target="commentsExtended.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1.xml"/><Relationship Id="rId19"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esktop\&#26032;&#24314;&#25991;&#20214;&#22841;%20(2)\&#26032;&#24314;%20Microsoft%20Office%20Excel%20&#24037;&#20316;&#349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Desktop\&#26032;&#24314;&#25991;&#20214;&#22841;%20(2)\&#26032;&#24314;%20Microsoft%20Office%20Excel%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style val="15"/>
  <c:chart>
    <c:plotArea>
      <c:layout/>
      <c:barChart>
        <c:barDir val="col"/>
        <c:grouping val="clustered"/>
        <c:ser>
          <c:idx val="0"/>
          <c:order val="0"/>
          <c:dLbls>
            <c:showVal val="1"/>
          </c:dLbls>
          <c:cat>
            <c:strRef>
              <c:f>Sheet1!$A$1:$H$1</c:f>
              <c:strCache>
                <c:ptCount val="8"/>
                <c:pt idx="0">
                  <c:v>送达案件数</c:v>
                </c:pt>
                <c:pt idx="1">
                  <c:v>送达发起次数</c:v>
                </c:pt>
                <c:pt idx="2">
                  <c:v>送达任务完成次数</c:v>
                </c:pt>
                <c:pt idx="3">
                  <c:v>“电话+短信”的电子送达</c:v>
                </c:pt>
                <c:pt idx="4">
                  <c:v>律师平台+手机端”的云端送达</c:v>
                </c:pt>
                <c:pt idx="5">
                  <c:v>“集中文印+邮寄”的传统送达</c:v>
                </c:pt>
                <c:pt idx="6">
                  <c:v>网格协查+直接送达”的延伸送达</c:v>
                </c:pt>
                <c:pt idx="7">
                  <c:v>“电子对接”的公告送达</c:v>
                </c:pt>
              </c:strCache>
            </c:strRef>
          </c:cat>
          <c:val>
            <c:numRef>
              <c:f>Sheet1!$A$2:$H$2</c:f>
              <c:numCache>
                <c:formatCode>General</c:formatCode>
                <c:ptCount val="8"/>
                <c:pt idx="0">
                  <c:v>11237</c:v>
                </c:pt>
                <c:pt idx="1">
                  <c:v>26750</c:v>
                </c:pt>
                <c:pt idx="2">
                  <c:v>74247</c:v>
                </c:pt>
                <c:pt idx="3">
                  <c:v>25675</c:v>
                </c:pt>
                <c:pt idx="4">
                  <c:v>632</c:v>
                </c:pt>
                <c:pt idx="5">
                  <c:v>45741</c:v>
                </c:pt>
                <c:pt idx="6">
                  <c:v>2111</c:v>
                </c:pt>
                <c:pt idx="7">
                  <c:v>88</c:v>
                </c:pt>
              </c:numCache>
            </c:numRef>
          </c:val>
        </c:ser>
        <c:axId val="92827648"/>
        <c:axId val="92829568"/>
      </c:barChart>
      <c:catAx>
        <c:axId val="92827648"/>
        <c:scaling>
          <c:orientation val="minMax"/>
        </c:scaling>
        <c:axPos val="b"/>
        <c:tickLblPos val="nextTo"/>
        <c:txPr>
          <a:bodyPr/>
          <a:lstStyle/>
          <a:p>
            <a:pPr>
              <a:defRPr sz="900"/>
            </a:pPr>
            <a:endParaRPr lang="zh-CN"/>
          </a:p>
        </c:txPr>
        <c:crossAx val="92829568"/>
        <c:crosses val="autoZero"/>
        <c:auto val="1"/>
        <c:lblAlgn val="ctr"/>
        <c:lblOffset val="100"/>
      </c:catAx>
      <c:valAx>
        <c:axId val="92829568"/>
        <c:scaling>
          <c:orientation val="minMax"/>
        </c:scaling>
        <c:axPos val="l"/>
        <c:majorGridlines/>
        <c:numFmt formatCode="General" sourceLinked="1"/>
        <c:tickLblPos val="nextTo"/>
        <c:crossAx val="92827648"/>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autoTitleDeleted val="1"/>
    <c:view3D>
      <c:rotX val="75"/>
      <c:perspective val="30"/>
    </c:view3D>
    <c:plotArea>
      <c:layout/>
      <c:pie3DChart>
        <c:varyColors val="1"/>
        <c:ser>
          <c:idx val="0"/>
          <c:order val="0"/>
          <c:dLbls>
            <c:dLbl>
              <c:idx val="0"/>
              <c:tx>
                <c:rich>
                  <a:bodyPr/>
                  <a:lstStyle/>
                  <a:p>
                    <a:r>
                      <a:rPr lang="en-US" altLang="en-US"/>
                      <a:t>34.58%</a:t>
                    </a:r>
                  </a:p>
                </c:rich>
              </c:tx>
              <c:dLblPos val="bestFit"/>
              <c:showVal val="1"/>
              <c:showPercent val="1"/>
              <c:separator>; </c:separator>
            </c:dLbl>
            <c:dLbl>
              <c:idx val="1"/>
              <c:tx>
                <c:rich>
                  <a:bodyPr/>
                  <a:lstStyle/>
                  <a:p>
                    <a:r>
                      <a:rPr lang="en-US" altLang="zh-CN"/>
                      <a:t>0.85%</a:t>
                    </a:r>
                  </a:p>
                </c:rich>
              </c:tx>
              <c:dLblPos val="bestFit"/>
              <c:showPercent val="1"/>
              <c:separator>; </c:separator>
            </c:dLbl>
            <c:dLbl>
              <c:idx val="2"/>
              <c:tx>
                <c:rich>
                  <a:bodyPr/>
                  <a:lstStyle/>
                  <a:p>
                    <a:r>
                      <a:rPr lang="en-US" altLang="zh-CN"/>
                      <a:t>61.61%</a:t>
                    </a:r>
                  </a:p>
                </c:rich>
              </c:tx>
              <c:dLblPos val="bestFit"/>
              <c:showPercent val="1"/>
              <c:separator>; </c:separator>
            </c:dLbl>
            <c:dLbl>
              <c:idx val="3"/>
              <c:tx>
                <c:rich>
                  <a:bodyPr/>
                  <a:lstStyle/>
                  <a:p>
                    <a:r>
                      <a:rPr lang="en-US" altLang="zh-CN"/>
                      <a:t>2.84%</a:t>
                    </a:r>
                  </a:p>
                </c:rich>
              </c:tx>
              <c:dLblPos val="bestFit"/>
              <c:showPercent val="1"/>
              <c:separator>; </c:separator>
            </c:dLbl>
            <c:dLbl>
              <c:idx val="4"/>
              <c:tx>
                <c:rich>
                  <a:bodyPr/>
                  <a:lstStyle/>
                  <a:p>
                    <a:r>
                      <a:rPr lang="en-US" altLang="zh-CN"/>
                      <a:t>0.12%</a:t>
                    </a:r>
                  </a:p>
                </c:rich>
              </c:tx>
              <c:dLblPos val="bestFit"/>
              <c:showPercent val="1"/>
              <c:separator>; </c:separator>
            </c:dLbl>
            <c:dLblPos val="bestFit"/>
            <c:showPercent val="1"/>
            <c:separator>; </c:separator>
            <c:showLeaderLines val="1"/>
          </c:dLbls>
          <c:cat>
            <c:strRef>
              <c:f>Sheet1!$C$1:$G$1</c:f>
              <c:strCache>
                <c:ptCount val="5"/>
                <c:pt idx="0">
                  <c:v>“电话+短信”的电子送达</c:v>
                </c:pt>
                <c:pt idx="1">
                  <c:v>律师平台+手机端”的云端送达</c:v>
                </c:pt>
                <c:pt idx="2">
                  <c:v>“集中文印+邮寄”的传统送达</c:v>
                </c:pt>
                <c:pt idx="3">
                  <c:v>网格协查+直接送达”的延伸送达</c:v>
                </c:pt>
                <c:pt idx="4">
                  <c:v>“电子对接”的公告送达</c:v>
                </c:pt>
              </c:strCache>
            </c:strRef>
          </c:cat>
          <c:val>
            <c:numRef>
              <c:f>Sheet1!$C$2:$G$2</c:f>
              <c:numCache>
                <c:formatCode>General</c:formatCode>
                <c:ptCount val="5"/>
                <c:pt idx="0">
                  <c:v>25675</c:v>
                </c:pt>
                <c:pt idx="1">
                  <c:v>632</c:v>
                </c:pt>
                <c:pt idx="2">
                  <c:v>45741</c:v>
                </c:pt>
                <c:pt idx="3">
                  <c:v>2111</c:v>
                </c:pt>
                <c:pt idx="4">
                  <c:v>88</c:v>
                </c:pt>
              </c:numCache>
            </c:numRef>
          </c:val>
        </c:ser>
      </c:pie3DChart>
    </c:plotArea>
    <c:legend>
      <c:legendPos val="r"/>
    </c:legend>
    <c:plotVisOnly val="1"/>
    <c:dispBlanksAs val="zero"/>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A41B433-508F-4F79-A28D-08856644BA1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22</Pages>
  <Words>1812</Words>
  <Characters>10334</Characters>
  <Application>Microsoft Office Word</Application>
  <DocSecurity>0</DocSecurity>
  <Lines>86</Lines>
  <Paragraphs>24</Paragraphs>
  <ScaleCrop>false</ScaleCrop>
  <Company/>
  <LinksUpToDate>false</LinksUpToDate>
  <CharactersWithSpaces>12122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丁雯雯</dc:creator>
  <cp:lastModifiedBy>adm</cp:lastModifiedBy>
  <cp:revision>24</cp:revision>
  <cp:lastPrinted>2020-09-05T02:56:00Z</cp:lastPrinted>
  <dcterms:created xsi:type="dcterms:W3CDTF">2020-06-28T03:18:00Z</dcterms:created>
  <dcterms:modified xsi:type="dcterms:W3CDTF">2023-07-05T08:33:00Z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