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9B" w:rsidRPr="009E7761" w:rsidRDefault="00671F93" w:rsidP="009E7761">
      <w:pPr>
        <w:spacing w:line="580" w:lineRule="exact"/>
        <w:jc w:val="center"/>
        <w:rPr>
          <w:rFonts w:ascii="黑体" w:eastAsia="黑体" w:hAnsi="黑体" w:cs="Times New Roman"/>
          <w:sz w:val="44"/>
          <w:szCs w:val="44"/>
        </w:rPr>
      </w:pPr>
      <w:r w:rsidRPr="009E7761">
        <w:rPr>
          <w:rFonts w:ascii="黑体" w:eastAsia="黑体" w:hAnsi="黑体" w:cs="Times New Roman" w:hint="eastAsia"/>
          <w:sz w:val="44"/>
          <w:szCs w:val="44"/>
        </w:rPr>
        <w:t>苏</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州</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市</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中</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级</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人</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民</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法</w:t>
      </w:r>
      <w:r w:rsidR="009E7761">
        <w:rPr>
          <w:rFonts w:ascii="黑体" w:eastAsia="黑体" w:hAnsi="黑体" w:cs="Times New Roman" w:hint="eastAsia"/>
          <w:sz w:val="44"/>
          <w:szCs w:val="44"/>
        </w:rPr>
        <w:t xml:space="preserve"> </w:t>
      </w:r>
      <w:r w:rsidRPr="009E7761">
        <w:rPr>
          <w:rFonts w:ascii="黑体" w:eastAsia="黑体" w:hAnsi="黑体" w:cs="Times New Roman" w:hint="eastAsia"/>
          <w:sz w:val="44"/>
          <w:szCs w:val="44"/>
        </w:rPr>
        <w:t>院</w:t>
      </w:r>
    </w:p>
    <w:p w:rsidR="004B329B" w:rsidRPr="009E7761" w:rsidRDefault="00671F93" w:rsidP="009E7761">
      <w:pPr>
        <w:spacing w:line="580" w:lineRule="exact"/>
        <w:jc w:val="center"/>
        <w:rPr>
          <w:rFonts w:ascii="黑体" w:eastAsia="黑体" w:hAnsi="黑体" w:cs="Times New Roman"/>
          <w:sz w:val="44"/>
          <w:szCs w:val="44"/>
        </w:rPr>
      </w:pPr>
      <w:r w:rsidRPr="009E7761">
        <w:rPr>
          <w:rFonts w:ascii="黑体" w:eastAsia="黑体" w:hAnsi="黑体" w:cs="Times New Roman" w:hint="eastAsia"/>
          <w:sz w:val="44"/>
          <w:szCs w:val="44"/>
        </w:rPr>
        <w:t>涉外、涉港澳台商事审判工作报告（2022）</w:t>
      </w:r>
    </w:p>
    <w:p w:rsidR="004B329B" w:rsidRDefault="004B329B" w:rsidP="00BC4A84">
      <w:pPr>
        <w:adjustRightInd w:val="0"/>
        <w:snapToGrid w:val="0"/>
        <w:jc w:val="center"/>
        <w:outlineLvl w:val="0"/>
        <w:rPr>
          <w:rFonts w:ascii="华文中宋" w:eastAsia="华文中宋" w:hAnsi="华文中宋" w:cs="华文中宋"/>
          <w:b/>
          <w:bCs/>
          <w:sz w:val="52"/>
          <w:szCs w:val="52"/>
        </w:rPr>
      </w:pPr>
    </w:p>
    <w:p w:rsidR="004B329B" w:rsidRDefault="00671F93" w:rsidP="00BC4A84">
      <w:pPr>
        <w:ind w:firstLineChars="200" w:firstLine="640"/>
        <w:jc w:val="left"/>
        <w:rPr>
          <w:rFonts w:ascii="仿宋_GB2312" w:eastAsia="仿宋_GB2312"/>
          <w:sz w:val="32"/>
          <w:szCs w:val="32"/>
        </w:rPr>
      </w:pPr>
      <w:r>
        <w:rPr>
          <w:rFonts w:ascii="仿宋_GB2312" w:eastAsia="仿宋_GB2312" w:hint="eastAsia"/>
          <w:bCs/>
          <w:sz w:val="32"/>
          <w:szCs w:val="32"/>
        </w:rPr>
        <w:t>2022</w:t>
      </w:r>
      <w:r w:rsidR="00540A7D">
        <w:rPr>
          <w:rFonts w:ascii="仿宋_GB2312" w:eastAsia="仿宋_GB2312" w:hint="eastAsia"/>
          <w:bCs/>
          <w:sz w:val="32"/>
          <w:szCs w:val="32"/>
        </w:rPr>
        <w:t>年，全市</w:t>
      </w:r>
      <w:r>
        <w:rPr>
          <w:rFonts w:ascii="仿宋_GB2312" w:eastAsia="仿宋_GB2312" w:hint="eastAsia"/>
          <w:bCs/>
          <w:sz w:val="32"/>
          <w:szCs w:val="32"/>
        </w:rPr>
        <w:t>法院坚持以习近平新时代中国特色社会主义思想为指导，深入贯彻习近平法治思想，</w:t>
      </w:r>
      <w:r w:rsidR="00E07CB5">
        <w:rPr>
          <w:rFonts w:ascii="仿宋_GB2312" w:eastAsia="仿宋_GB2312" w:hint="eastAsia"/>
          <w:bCs/>
          <w:sz w:val="32"/>
          <w:szCs w:val="32"/>
        </w:rPr>
        <w:t>认真贯彻</w:t>
      </w:r>
      <w:r w:rsidRPr="001D1FF4">
        <w:rPr>
          <w:rFonts w:ascii="仿宋_GB2312" w:eastAsia="仿宋_GB2312" w:hint="eastAsia"/>
          <w:bCs/>
          <w:sz w:val="32"/>
          <w:szCs w:val="32"/>
        </w:rPr>
        <w:t>最高人民法院《关于人民法院服务保障进一步扩大对外开放的指导意见》，</w:t>
      </w:r>
      <w:r>
        <w:rPr>
          <w:rFonts w:ascii="仿宋_GB2312" w:eastAsia="仿宋_GB2312" w:hint="eastAsia"/>
          <w:bCs/>
          <w:sz w:val="32"/>
          <w:szCs w:val="32"/>
        </w:rPr>
        <w:t>坚持平等保护中外当事人合法权益的宗旨，依法公正高效审理各类涉外、</w:t>
      </w:r>
      <w:r w:rsidRPr="001D1FF4">
        <w:rPr>
          <w:rFonts w:ascii="仿宋_GB2312" w:eastAsia="仿宋_GB2312" w:hint="eastAsia"/>
          <w:bCs/>
          <w:sz w:val="32"/>
          <w:szCs w:val="32"/>
        </w:rPr>
        <w:t>涉港澳台</w:t>
      </w:r>
      <w:r>
        <w:rPr>
          <w:rFonts w:ascii="仿宋_GB2312" w:eastAsia="仿宋_GB2312" w:hint="eastAsia"/>
          <w:bCs/>
          <w:sz w:val="32"/>
          <w:szCs w:val="32"/>
        </w:rPr>
        <w:t>商事纠纷案件，全力打造市场化、法治化、国际化一流营商环境。</w:t>
      </w:r>
    </w:p>
    <w:p w:rsidR="004B329B" w:rsidRPr="003E1991" w:rsidRDefault="003E1991" w:rsidP="003E1991">
      <w:pPr>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w:t>
      </w:r>
      <w:r w:rsidR="00671F93" w:rsidRPr="003E1991">
        <w:rPr>
          <w:rFonts w:ascii="黑体" w:eastAsia="黑体" w:hAnsi="黑体" w:cs="黑体" w:hint="eastAsia"/>
          <w:kern w:val="0"/>
          <w:sz w:val="32"/>
          <w:szCs w:val="32"/>
        </w:rPr>
        <w:t>涉外、涉港澳台商事案件审判基本情况</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1.</w:t>
      </w:r>
      <w:r w:rsidR="00671F93" w:rsidRPr="00BC4A84">
        <w:rPr>
          <w:rFonts w:ascii="楷体" w:eastAsia="楷体" w:hAnsi="楷体" w:cs="华文楷体" w:hint="eastAsia"/>
          <w:bCs/>
          <w:kern w:val="0"/>
          <w:sz w:val="32"/>
          <w:szCs w:val="32"/>
        </w:rPr>
        <w:t>审判质效良性运行</w:t>
      </w:r>
      <w:r w:rsidR="008A23E4">
        <w:rPr>
          <w:rFonts w:ascii="楷体" w:eastAsia="楷体" w:hAnsi="楷体" w:cs="华文楷体" w:hint="eastAsia"/>
          <w:bCs/>
          <w:kern w:val="0"/>
          <w:sz w:val="32"/>
          <w:szCs w:val="32"/>
        </w:rPr>
        <w:t>。</w:t>
      </w:r>
      <w:r w:rsidR="00671F93">
        <w:rPr>
          <w:rFonts w:ascii="仿宋_GB2312" w:eastAsia="仿宋_GB2312" w:hint="eastAsia"/>
          <w:sz w:val="32"/>
          <w:szCs w:val="32"/>
        </w:rPr>
        <w:t>2022年，</w:t>
      </w:r>
      <w:r w:rsidR="00540A7D">
        <w:rPr>
          <w:rFonts w:ascii="仿宋_GB2312" w:eastAsia="仿宋_GB2312" w:hint="eastAsia"/>
          <w:sz w:val="32"/>
          <w:szCs w:val="32"/>
        </w:rPr>
        <w:t>全市</w:t>
      </w:r>
      <w:r w:rsidR="00671F93">
        <w:rPr>
          <w:rFonts w:ascii="仿宋_GB2312" w:eastAsia="仿宋_GB2312" w:hint="eastAsia"/>
          <w:sz w:val="32"/>
          <w:szCs w:val="32"/>
        </w:rPr>
        <w:t>法院共受理一、二审涉外、涉港澳台商事案件439件，其中新收286件，审结305件，结收案比</w:t>
      </w:r>
      <w:r w:rsidR="00540A7D">
        <w:rPr>
          <w:rFonts w:ascii="仿宋_GB2312" w:eastAsia="仿宋_GB2312" w:hint="eastAsia"/>
          <w:sz w:val="32"/>
          <w:szCs w:val="32"/>
        </w:rPr>
        <w:t>达</w:t>
      </w:r>
      <w:r w:rsidR="00671F93">
        <w:rPr>
          <w:rFonts w:ascii="仿宋_GB2312" w:eastAsia="仿宋_GB2312" w:hint="eastAsia"/>
          <w:sz w:val="32"/>
          <w:szCs w:val="32"/>
        </w:rPr>
        <w:t>106.64%</w:t>
      </w:r>
      <w:r w:rsidR="00540A7D">
        <w:rPr>
          <w:rFonts w:ascii="仿宋_GB2312" w:eastAsia="仿宋_GB2312" w:hint="eastAsia"/>
          <w:sz w:val="32"/>
          <w:szCs w:val="32"/>
        </w:rPr>
        <w:t>，同比</w:t>
      </w:r>
      <w:r w:rsidR="00671F93">
        <w:rPr>
          <w:rFonts w:ascii="仿宋_GB2312" w:eastAsia="仿宋_GB2312" w:hint="eastAsia"/>
          <w:sz w:val="32"/>
          <w:szCs w:val="32"/>
        </w:rPr>
        <w:t>上升1.89个百分点。此外，</w:t>
      </w:r>
      <w:r w:rsidR="00083ACA">
        <w:rPr>
          <w:rFonts w:ascii="仿宋_GB2312" w:eastAsia="仿宋_GB2312" w:hint="eastAsia"/>
          <w:sz w:val="32"/>
          <w:szCs w:val="32"/>
        </w:rPr>
        <w:t>全市法院</w:t>
      </w:r>
      <w:r w:rsidR="00671F93" w:rsidRPr="00091966">
        <w:rPr>
          <w:rFonts w:ascii="仿宋_GB2312" w:eastAsia="仿宋_GB2312" w:hint="eastAsia"/>
          <w:sz w:val="32"/>
          <w:szCs w:val="32"/>
        </w:rPr>
        <w:t>还</w:t>
      </w:r>
      <w:r w:rsidR="00E16C99" w:rsidRPr="00550A48">
        <w:rPr>
          <w:rFonts w:ascii="仿宋_GB2312" w:eastAsia="仿宋_GB2312" w:hint="eastAsia"/>
          <w:sz w:val="32"/>
          <w:szCs w:val="32"/>
        </w:rPr>
        <w:t>审理</w:t>
      </w:r>
      <w:r w:rsidR="00671F93" w:rsidRPr="00550A48">
        <w:rPr>
          <w:rFonts w:ascii="仿宋_GB2312" w:eastAsia="仿宋_GB2312" w:hint="eastAsia"/>
          <w:sz w:val="32"/>
          <w:szCs w:val="32"/>
        </w:rPr>
        <w:t>了与开</w:t>
      </w:r>
      <w:r w:rsidR="00671F93">
        <w:rPr>
          <w:rFonts w:ascii="仿宋_GB2312" w:eastAsia="仿宋_GB2312" w:hint="eastAsia"/>
          <w:sz w:val="32"/>
          <w:szCs w:val="32"/>
        </w:rPr>
        <w:t>放型经济密切相关的涉外商独资企业商事纠纷、涉外商投资企业公司类纠纷案件1978件。</w:t>
      </w:r>
      <w:r w:rsidR="00671F93">
        <w:rPr>
          <w:rFonts w:ascii="仿宋_GB2312" w:eastAsia="仿宋_GB2312" w:hint="eastAsia"/>
          <w:bCs/>
          <w:sz w:val="32"/>
          <w:szCs w:val="32"/>
          <w:lang w:val="zh-CN"/>
        </w:rPr>
        <w:t>2022年，</w:t>
      </w:r>
      <w:r w:rsidR="003B6702">
        <w:rPr>
          <w:rFonts w:ascii="仿宋_GB2312" w:eastAsia="仿宋_GB2312" w:hint="eastAsia"/>
          <w:bCs/>
          <w:sz w:val="32"/>
          <w:szCs w:val="32"/>
          <w:lang w:val="zh-CN"/>
        </w:rPr>
        <w:t>全市法院</w:t>
      </w:r>
      <w:r w:rsidR="00671F93">
        <w:rPr>
          <w:rFonts w:ascii="仿宋_GB2312" w:eastAsia="仿宋_GB2312" w:hint="eastAsia"/>
          <w:bCs/>
          <w:sz w:val="32"/>
          <w:szCs w:val="32"/>
          <w:lang w:val="zh-CN"/>
        </w:rPr>
        <w:t>审结</w:t>
      </w:r>
      <w:r w:rsidR="00540A7D">
        <w:rPr>
          <w:rFonts w:ascii="仿宋_GB2312" w:eastAsia="仿宋_GB2312" w:hint="eastAsia"/>
          <w:bCs/>
          <w:sz w:val="32"/>
          <w:szCs w:val="32"/>
          <w:lang w:val="zh-CN"/>
        </w:rPr>
        <w:t>的305件</w:t>
      </w:r>
      <w:r w:rsidR="00671F93">
        <w:rPr>
          <w:rFonts w:ascii="仿宋_GB2312" w:eastAsia="仿宋_GB2312" w:hint="eastAsia"/>
          <w:sz w:val="32"/>
          <w:szCs w:val="32"/>
        </w:rPr>
        <w:t>涉外、涉港澳台商事案件</w:t>
      </w:r>
      <w:r w:rsidR="00540A7D">
        <w:rPr>
          <w:rFonts w:ascii="仿宋_GB2312" w:eastAsia="仿宋_GB2312" w:hint="eastAsia"/>
          <w:sz w:val="32"/>
          <w:szCs w:val="32"/>
        </w:rPr>
        <w:t>中，包括一审案件</w:t>
      </w:r>
      <w:r w:rsidR="00671F93">
        <w:rPr>
          <w:rFonts w:ascii="仿宋_GB2312" w:eastAsia="仿宋_GB2312" w:hint="eastAsia"/>
          <w:sz w:val="32"/>
          <w:szCs w:val="32"/>
        </w:rPr>
        <w:t>290件，二审</w:t>
      </w:r>
      <w:r w:rsidR="00540A7D">
        <w:rPr>
          <w:rFonts w:ascii="仿宋_GB2312" w:eastAsia="仿宋_GB2312" w:hint="eastAsia"/>
          <w:sz w:val="32"/>
          <w:szCs w:val="32"/>
        </w:rPr>
        <w:t>案件</w:t>
      </w:r>
      <w:r w:rsidR="00671F93">
        <w:rPr>
          <w:rFonts w:ascii="仿宋_GB2312" w:eastAsia="仿宋_GB2312" w:hint="eastAsia"/>
          <w:sz w:val="32"/>
          <w:szCs w:val="32"/>
        </w:rPr>
        <w:t>15件。在审结的二审案件中，无一改判</w:t>
      </w:r>
      <w:r w:rsidR="00E16C99">
        <w:rPr>
          <w:rFonts w:ascii="仿宋_GB2312" w:eastAsia="仿宋_GB2312" w:hint="eastAsia"/>
          <w:sz w:val="32"/>
          <w:szCs w:val="32"/>
        </w:rPr>
        <w:t>或发回重审</w:t>
      </w:r>
      <w:r w:rsidR="00671F93">
        <w:rPr>
          <w:rFonts w:ascii="仿宋_GB2312" w:eastAsia="仿宋_GB2312" w:hint="eastAsia"/>
          <w:sz w:val="32"/>
          <w:szCs w:val="32"/>
        </w:rPr>
        <w:t>。</w:t>
      </w:r>
      <w:r w:rsidR="00083ACA">
        <w:rPr>
          <w:rFonts w:ascii="仿宋_GB2312" w:eastAsia="仿宋_GB2312" w:hint="eastAsia"/>
          <w:sz w:val="32"/>
          <w:szCs w:val="32"/>
        </w:rPr>
        <w:t>这</w:t>
      </w:r>
      <w:r w:rsidR="00671F93">
        <w:rPr>
          <w:rFonts w:ascii="仿宋_GB2312" w:eastAsia="仿宋_GB2312" w:hint="eastAsia"/>
          <w:sz w:val="32"/>
          <w:szCs w:val="32"/>
        </w:rPr>
        <w:t>反映出苏州地区涉外、涉港澳台商事交易秩序较为稳定，市场规则</w:t>
      </w:r>
      <w:r w:rsidR="00671F93">
        <w:rPr>
          <w:rFonts w:ascii="仿宋_GB2312" w:eastAsia="仿宋_GB2312" w:hint="eastAsia"/>
          <w:bCs/>
          <w:sz w:val="32"/>
          <w:szCs w:val="32"/>
          <w:lang w:val="zh-CN"/>
        </w:rPr>
        <w:t>以及司法解决争端的可预期性较</w:t>
      </w:r>
      <w:r w:rsidR="00540A7D">
        <w:rPr>
          <w:rFonts w:ascii="仿宋_GB2312" w:eastAsia="仿宋_GB2312" w:hint="eastAsia"/>
          <w:bCs/>
          <w:sz w:val="32"/>
          <w:szCs w:val="32"/>
          <w:lang w:val="zh-CN"/>
        </w:rPr>
        <w:t>为</w:t>
      </w:r>
      <w:r w:rsidR="00671F93">
        <w:rPr>
          <w:rFonts w:ascii="仿宋_GB2312" w:eastAsia="仿宋_GB2312" w:hint="eastAsia"/>
          <w:bCs/>
          <w:sz w:val="32"/>
          <w:szCs w:val="32"/>
          <w:lang w:val="zh-CN"/>
        </w:rPr>
        <w:t>明晰，</w:t>
      </w:r>
      <w:r w:rsidR="003C0BD6">
        <w:rPr>
          <w:rFonts w:ascii="仿宋_GB2312" w:eastAsia="仿宋_GB2312" w:hint="eastAsia"/>
          <w:bCs/>
          <w:sz w:val="32"/>
          <w:szCs w:val="32"/>
        </w:rPr>
        <w:t>市场化、法治化、国际化</w:t>
      </w:r>
      <w:r w:rsidR="00540A7D">
        <w:rPr>
          <w:rFonts w:ascii="仿宋_GB2312" w:eastAsia="仿宋_GB2312" w:hint="eastAsia"/>
          <w:bCs/>
          <w:sz w:val="32"/>
          <w:szCs w:val="32"/>
          <w:lang w:val="zh-CN"/>
        </w:rPr>
        <w:t>营商环境进一步优化</w:t>
      </w:r>
      <w:r w:rsidR="00671F93">
        <w:rPr>
          <w:rFonts w:ascii="仿宋_GB2312" w:eastAsia="仿宋_GB2312" w:hint="eastAsia"/>
          <w:bCs/>
          <w:sz w:val="32"/>
          <w:szCs w:val="32"/>
          <w:lang w:val="zh-CN"/>
        </w:rPr>
        <w:t>。</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2.</w:t>
      </w:r>
      <w:r w:rsidR="00671F93" w:rsidRPr="00BC4A84">
        <w:rPr>
          <w:rFonts w:ascii="楷体" w:eastAsia="楷体" w:hAnsi="楷体" w:cs="华文楷体" w:hint="eastAsia"/>
          <w:bCs/>
          <w:kern w:val="0"/>
          <w:sz w:val="32"/>
          <w:szCs w:val="32"/>
        </w:rPr>
        <w:t>调解撤诉比例不高</w:t>
      </w:r>
      <w:r w:rsidR="008A23E4">
        <w:rPr>
          <w:rFonts w:ascii="楷体" w:eastAsia="楷体" w:hAnsi="楷体" w:cs="华文楷体" w:hint="eastAsia"/>
          <w:bCs/>
          <w:kern w:val="0"/>
          <w:sz w:val="32"/>
          <w:szCs w:val="32"/>
        </w:rPr>
        <w:t>。</w:t>
      </w:r>
      <w:r w:rsidR="00671F93">
        <w:rPr>
          <w:rFonts w:ascii="仿宋_GB2312" w:eastAsia="仿宋_GB2312" w:hint="eastAsia"/>
          <w:sz w:val="32"/>
          <w:szCs w:val="32"/>
        </w:rPr>
        <w:t>2022年，</w:t>
      </w:r>
      <w:r w:rsidR="00540A7D">
        <w:rPr>
          <w:rFonts w:ascii="仿宋_GB2312" w:eastAsia="仿宋_GB2312" w:hint="eastAsia"/>
          <w:sz w:val="32"/>
          <w:szCs w:val="32"/>
        </w:rPr>
        <w:t>全市</w:t>
      </w:r>
      <w:r w:rsidR="00671F93">
        <w:rPr>
          <w:rFonts w:ascii="仿宋_GB2312" w:eastAsia="仿宋_GB2312" w:hint="eastAsia"/>
          <w:sz w:val="32"/>
          <w:szCs w:val="32"/>
        </w:rPr>
        <w:t>法院</w:t>
      </w:r>
      <w:r w:rsidR="00671F93">
        <w:rPr>
          <w:rFonts w:ascii="仿宋_GB2312" w:eastAsia="仿宋_GB2312" w:hint="eastAsia"/>
          <w:bCs/>
          <w:sz w:val="32"/>
          <w:szCs w:val="32"/>
          <w:lang w:val="zh-CN"/>
        </w:rPr>
        <w:t>一审</w:t>
      </w:r>
      <w:r w:rsidR="00671F93">
        <w:rPr>
          <w:rFonts w:ascii="仿宋_GB2312" w:eastAsia="仿宋_GB2312" w:hint="eastAsia"/>
          <w:sz w:val="32"/>
          <w:szCs w:val="32"/>
        </w:rPr>
        <w:t>涉外、涉港澳</w:t>
      </w:r>
      <w:r w:rsidR="00671F93">
        <w:rPr>
          <w:rFonts w:ascii="仿宋_GB2312" w:eastAsia="仿宋_GB2312" w:hint="eastAsia"/>
          <w:sz w:val="32"/>
          <w:szCs w:val="32"/>
        </w:rPr>
        <w:lastRenderedPageBreak/>
        <w:t>台商事案件的结案方式多元化趋势明显。具体而言，以判决方式结案的173件，占比59.66%；以撤诉方式结案的54件，占比18.62%；以调解方式结案的42件，占比14.48%；以裁定驳回起诉方式结案的1件，占比0.34</w:t>
      </w:r>
      <w:r w:rsidR="00671F93" w:rsidRPr="00AE2662">
        <w:rPr>
          <w:rFonts w:ascii="仿宋_GB2312" w:eastAsia="仿宋_GB2312" w:hint="eastAsia"/>
          <w:sz w:val="32"/>
          <w:szCs w:val="32"/>
        </w:rPr>
        <w:t>%</w:t>
      </w:r>
      <w:r w:rsidR="00671F93" w:rsidRPr="00091966">
        <w:rPr>
          <w:rFonts w:ascii="仿宋_GB2312" w:eastAsia="仿宋_GB2312" w:hint="eastAsia"/>
          <w:sz w:val="32"/>
          <w:szCs w:val="32"/>
        </w:rPr>
        <w:t>；以裁定移送或</w:t>
      </w:r>
      <w:r w:rsidR="00671F93" w:rsidRPr="00AE2662">
        <w:rPr>
          <w:rFonts w:ascii="仿宋_GB2312" w:eastAsia="仿宋_GB2312" w:hint="eastAsia"/>
          <w:sz w:val="32"/>
          <w:szCs w:val="32"/>
        </w:rPr>
        <w:t>指定其他法院</w:t>
      </w:r>
      <w:r w:rsidR="00AE2662" w:rsidRPr="00BB2CD0">
        <w:rPr>
          <w:rFonts w:ascii="仿宋_GB2312" w:eastAsia="仿宋_GB2312" w:hint="eastAsia"/>
          <w:sz w:val="32"/>
          <w:szCs w:val="32"/>
        </w:rPr>
        <w:t>审理</w:t>
      </w:r>
      <w:r w:rsidR="00671F93" w:rsidRPr="00AE2662">
        <w:rPr>
          <w:rFonts w:ascii="仿宋_GB2312" w:eastAsia="仿宋_GB2312" w:hint="eastAsia"/>
          <w:sz w:val="32"/>
          <w:szCs w:val="32"/>
        </w:rPr>
        <w:t>方式</w:t>
      </w:r>
      <w:r w:rsidR="00671F93" w:rsidRPr="00091966">
        <w:rPr>
          <w:rFonts w:ascii="仿宋_GB2312" w:eastAsia="仿宋_GB2312" w:hint="eastAsia"/>
          <w:sz w:val="32"/>
          <w:szCs w:val="32"/>
        </w:rPr>
        <w:t>结</w:t>
      </w:r>
      <w:r w:rsidR="00671F93">
        <w:rPr>
          <w:rFonts w:ascii="仿宋_GB2312" w:eastAsia="仿宋_GB2312" w:hint="eastAsia"/>
          <w:sz w:val="32"/>
          <w:szCs w:val="32"/>
        </w:rPr>
        <w:t>案的9件，占比3.10%；以司法确认诉前调解协议方式结案的11件，占比3.79%。其中，</w:t>
      </w:r>
      <w:r w:rsidR="00540A7D">
        <w:rPr>
          <w:rFonts w:ascii="仿宋_GB2312" w:eastAsia="仿宋_GB2312" w:hint="eastAsia"/>
          <w:sz w:val="32"/>
          <w:szCs w:val="32"/>
        </w:rPr>
        <w:t>通过</w:t>
      </w:r>
      <w:r w:rsidR="00671F93">
        <w:rPr>
          <w:rFonts w:ascii="仿宋_GB2312" w:eastAsia="仿宋_GB2312" w:hint="eastAsia"/>
          <w:sz w:val="32"/>
          <w:szCs w:val="32"/>
        </w:rPr>
        <w:t>诉前调解</w:t>
      </w:r>
      <w:r w:rsidR="007628AE">
        <w:rPr>
          <w:rFonts w:ascii="仿宋_GB2312" w:eastAsia="仿宋_GB2312" w:hint="eastAsia"/>
          <w:sz w:val="32"/>
          <w:szCs w:val="32"/>
        </w:rPr>
        <w:t>后司法确认</w:t>
      </w:r>
      <w:r w:rsidR="00540A7D">
        <w:rPr>
          <w:rFonts w:ascii="仿宋_GB2312" w:eastAsia="仿宋_GB2312" w:hint="eastAsia"/>
          <w:sz w:val="32"/>
          <w:szCs w:val="32"/>
        </w:rPr>
        <w:t>方式</w:t>
      </w:r>
      <w:r w:rsidR="00671F93" w:rsidRPr="00BB2CD0">
        <w:rPr>
          <w:rFonts w:ascii="仿宋_GB2312" w:eastAsia="仿宋_GB2312" w:hint="eastAsia"/>
          <w:sz w:val="32"/>
          <w:szCs w:val="32"/>
        </w:rPr>
        <w:t>化解</w:t>
      </w:r>
      <w:r w:rsidR="00540A7D">
        <w:rPr>
          <w:rFonts w:ascii="仿宋_GB2312" w:eastAsia="仿宋_GB2312" w:hint="eastAsia"/>
          <w:sz w:val="32"/>
          <w:szCs w:val="32"/>
        </w:rPr>
        <w:t>的</w:t>
      </w:r>
      <w:r w:rsidR="00781097">
        <w:rPr>
          <w:rFonts w:ascii="仿宋_GB2312" w:eastAsia="仿宋_GB2312" w:hint="eastAsia"/>
          <w:sz w:val="32"/>
          <w:szCs w:val="32"/>
        </w:rPr>
        <w:t>纠纷数量在2022年有了大幅提升</w:t>
      </w:r>
      <w:r w:rsidR="00671F93" w:rsidRPr="00BB2CD0">
        <w:rPr>
          <w:rFonts w:ascii="仿宋_GB2312" w:eastAsia="仿宋_GB2312" w:hint="eastAsia"/>
          <w:sz w:val="32"/>
          <w:szCs w:val="32"/>
        </w:rPr>
        <w:t>。</w:t>
      </w:r>
      <w:r w:rsidR="006568C6">
        <w:rPr>
          <w:rFonts w:ascii="仿宋_GB2312" w:eastAsia="仿宋_GB2312" w:hint="eastAsia"/>
          <w:sz w:val="32"/>
          <w:szCs w:val="32"/>
        </w:rPr>
        <w:t>但</w:t>
      </w:r>
      <w:r w:rsidR="00540A7D">
        <w:rPr>
          <w:rFonts w:ascii="仿宋_GB2312" w:eastAsia="仿宋_GB2312" w:hint="eastAsia"/>
          <w:sz w:val="32"/>
          <w:szCs w:val="32"/>
        </w:rPr>
        <w:t>基于</w:t>
      </w:r>
      <w:r w:rsidR="00671F93" w:rsidRPr="00BB2CD0">
        <w:rPr>
          <w:rFonts w:ascii="仿宋_GB2312" w:eastAsia="仿宋_GB2312" w:hint="eastAsia"/>
          <w:sz w:val="32"/>
          <w:szCs w:val="32"/>
        </w:rPr>
        <w:t>涉外当事人在文化传统、价值理念方面的差异，以及部分涉外当事人因送达不能而缺席</w:t>
      </w:r>
      <w:r w:rsidR="00540A7D">
        <w:rPr>
          <w:rFonts w:ascii="仿宋_GB2312" w:eastAsia="仿宋_GB2312" w:hint="eastAsia"/>
          <w:sz w:val="32"/>
          <w:szCs w:val="32"/>
        </w:rPr>
        <w:t>等</w:t>
      </w:r>
      <w:r w:rsidR="00671F93" w:rsidRPr="00BB2CD0">
        <w:rPr>
          <w:rFonts w:ascii="仿宋_GB2312" w:eastAsia="仿宋_GB2312" w:hint="eastAsia"/>
          <w:sz w:val="32"/>
          <w:szCs w:val="32"/>
        </w:rPr>
        <w:t>原因</w:t>
      </w:r>
      <w:r w:rsidR="00671F93">
        <w:rPr>
          <w:rFonts w:ascii="仿宋_GB2312" w:eastAsia="仿宋_GB2312" w:hint="eastAsia"/>
          <w:bCs/>
          <w:sz w:val="32"/>
          <w:szCs w:val="32"/>
          <w:lang w:val="zh-CN"/>
        </w:rPr>
        <w:t>，</w:t>
      </w:r>
      <w:r w:rsidR="006568C6">
        <w:rPr>
          <w:rFonts w:ascii="仿宋_GB2312" w:eastAsia="仿宋_GB2312" w:hint="eastAsia"/>
          <w:sz w:val="32"/>
          <w:szCs w:val="32"/>
        </w:rPr>
        <w:t>涉外、涉港澳台商事案件的</w:t>
      </w:r>
      <w:r w:rsidR="00671F93">
        <w:rPr>
          <w:rFonts w:ascii="仿宋_GB2312" w:eastAsia="仿宋_GB2312" w:hint="eastAsia"/>
          <w:bCs/>
          <w:sz w:val="32"/>
          <w:szCs w:val="32"/>
          <w:lang w:val="zh-CN"/>
        </w:rPr>
        <w:t>调解撤诉比例仍低于国内民商事案件</w:t>
      </w:r>
      <w:r w:rsidR="00BE42E0">
        <w:rPr>
          <w:rFonts w:ascii="仿宋_GB2312" w:eastAsia="仿宋_GB2312" w:hint="eastAsia"/>
          <w:bCs/>
          <w:sz w:val="32"/>
          <w:szCs w:val="32"/>
          <w:lang w:val="zh-CN"/>
        </w:rPr>
        <w:t>（见图1）</w:t>
      </w:r>
      <w:r w:rsidR="00671F93">
        <w:rPr>
          <w:rFonts w:ascii="仿宋_GB2312" w:eastAsia="仿宋_GB2312" w:hint="eastAsia"/>
          <w:bCs/>
          <w:sz w:val="32"/>
          <w:szCs w:val="32"/>
          <w:lang w:val="zh-CN"/>
        </w:rPr>
        <w:t>。</w:t>
      </w:r>
    </w:p>
    <w:p w:rsidR="003E37D2" w:rsidRDefault="003E37D2" w:rsidP="00454166">
      <w:pPr>
        <w:jc w:val="left"/>
        <w:rPr>
          <w:rFonts w:ascii="仿宋_GB2312" w:eastAsia="仿宋_GB2312"/>
          <w:bCs/>
          <w:sz w:val="32"/>
          <w:szCs w:val="32"/>
          <w:lang w:val="zh-CN"/>
        </w:rPr>
      </w:pPr>
      <w:r>
        <w:rPr>
          <w:noProof/>
        </w:rPr>
        <w:drawing>
          <wp:anchor distT="0" distB="0" distL="114300" distR="114300" simplePos="0" relativeHeight="251659264" behindDoc="0" locked="0" layoutInCell="1" allowOverlap="1" wp14:anchorId="060FB772" wp14:editId="23FD32BC">
            <wp:simplePos x="0" y="0"/>
            <wp:positionH relativeFrom="column">
              <wp:posOffset>730250</wp:posOffset>
            </wp:positionH>
            <wp:positionV relativeFrom="paragraph">
              <wp:posOffset>803910</wp:posOffset>
            </wp:positionV>
            <wp:extent cx="4343400" cy="2486025"/>
            <wp:effectExtent l="0" t="0" r="1905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3E37D2">
        <w:rPr>
          <w:rFonts w:ascii="楷体" w:eastAsia="楷体" w:hAnsi="楷体" w:hint="eastAsia"/>
          <w:sz w:val="32"/>
          <w:szCs w:val="32"/>
        </w:rPr>
        <w:t>图1：全市法院2022年一审涉外、涉港澳台商事案件结案方式分布</w:t>
      </w:r>
      <w:r w:rsidR="007C216A">
        <w:rPr>
          <w:rFonts w:ascii="楷体" w:eastAsia="楷体" w:hAnsi="楷体" w:hint="eastAsia"/>
          <w:sz w:val="32"/>
          <w:szCs w:val="32"/>
        </w:rPr>
        <w:t>情况</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3.</w:t>
      </w:r>
      <w:r w:rsidR="00671F93" w:rsidRPr="00BC4A84">
        <w:rPr>
          <w:rFonts w:ascii="楷体" w:eastAsia="楷体" w:hAnsi="楷体" w:cs="华文楷体" w:hint="eastAsia"/>
          <w:bCs/>
          <w:kern w:val="0"/>
          <w:sz w:val="32"/>
          <w:szCs w:val="32"/>
        </w:rPr>
        <w:t>争议标的总金额高</w:t>
      </w:r>
      <w:r w:rsidR="008A23E4">
        <w:rPr>
          <w:rFonts w:ascii="楷体" w:eastAsia="楷体" w:hAnsi="楷体" w:cs="华文楷体" w:hint="eastAsia"/>
          <w:bCs/>
          <w:kern w:val="0"/>
          <w:sz w:val="32"/>
          <w:szCs w:val="32"/>
        </w:rPr>
        <w:t>。</w:t>
      </w:r>
      <w:r w:rsidR="00671F93">
        <w:rPr>
          <w:rFonts w:ascii="仿宋_GB2312" w:eastAsia="仿宋_GB2312" w:hint="eastAsia"/>
          <w:bCs/>
          <w:sz w:val="32"/>
          <w:szCs w:val="32"/>
          <w:lang w:val="zh-CN"/>
        </w:rPr>
        <w:t>2022年，</w:t>
      </w:r>
      <w:r w:rsidR="00540A7D">
        <w:rPr>
          <w:rFonts w:ascii="仿宋_GB2312" w:eastAsia="仿宋_GB2312" w:hint="eastAsia"/>
          <w:bCs/>
          <w:sz w:val="32"/>
          <w:szCs w:val="32"/>
          <w:lang w:val="zh-CN"/>
        </w:rPr>
        <w:t>全市</w:t>
      </w:r>
      <w:r w:rsidR="00671F93">
        <w:rPr>
          <w:rFonts w:ascii="仿宋_GB2312" w:eastAsia="仿宋_GB2312" w:hint="eastAsia"/>
          <w:bCs/>
          <w:sz w:val="32"/>
          <w:szCs w:val="32"/>
          <w:lang w:val="zh-CN"/>
        </w:rPr>
        <w:t>法院受理的一审涉外商事案件标的总金额达21.69亿元，平均标的额为512.67万元。具体来看，标的额在100</w:t>
      </w:r>
      <w:r w:rsidR="00671F93">
        <w:rPr>
          <w:rFonts w:ascii="仿宋_GB2312" w:eastAsia="仿宋_GB2312"/>
          <w:bCs/>
          <w:sz w:val="32"/>
          <w:szCs w:val="32"/>
          <w:lang w:val="zh-CN"/>
        </w:rPr>
        <w:t>万元以下的案件共</w:t>
      </w:r>
      <w:r w:rsidR="00671F93">
        <w:rPr>
          <w:rFonts w:ascii="仿宋_GB2312" w:eastAsia="仿宋_GB2312" w:hint="eastAsia"/>
          <w:bCs/>
          <w:sz w:val="32"/>
          <w:szCs w:val="32"/>
          <w:lang w:val="zh-CN"/>
        </w:rPr>
        <w:t>215</w:t>
      </w:r>
      <w:r w:rsidR="00671F93">
        <w:rPr>
          <w:rFonts w:ascii="仿宋_GB2312" w:eastAsia="仿宋_GB2312"/>
          <w:bCs/>
          <w:sz w:val="32"/>
          <w:szCs w:val="32"/>
          <w:lang w:val="zh-CN"/>
        </w:rPr>
        <w:t>件，占比</w:t>
      </w:r>
      <w:r w:rsidR="00671F93">
        <w:rPr>
          <w:rFonts w:ascii="仿宋_GB2312" w:eastAsia="仿宋_GB2312" w:hint="eastAsia"/>
          <w:bCs/>
          <w:sz w:val="32"/>
          <w:szCs w:val="32"/>
          <w:lang w:val="zh-CN"/>
        </w:rPr>
        <w:t>50.83</w:t>
      </w:r>
      <w:r w:rsidR="00671F93">
        <w:rPr>
          <w:rFonts w:ascii="仿宋_GB2312" w:eastAsia="仿宋_GB2312"/>
          <w:bCs/>
          <w:sz w:val="32"/>
          <w:szCs w:val="32"/>
          <w:lang w:val="zh-CN"/>
        </w:rPr>
        <w:t>%；</w:t>
      </w:r>
      <w:r w:rsidR="00671F93">
        <w:rPr>
          <w:rFonts w:ascii="仿宋_GB2312" w:eastAsia="仿宋_GB2312"/>
          <w:bCs/>
          <w:sz w:val="32"/>
          <w:szCs w:val="32"/>
          <w:lang w:val="zh-CN"/>
        </w:rPr>
        <w:lastRenderedPageBreak/>
        <w:t>标的额在100万元</w:t>
      </w:r>
      <w:r w:rsidR="00C57E0E">
        <w:rPr>
          <w:rFonts w:ascii="仿宋_GB2312" w:eastAsia="仿宋_GB2312" w:hint="eastAsia"/>
          <w:bCs/>
          <w:sz w:val="32"/>
          <w:szCs w:val="32"/>
          <w:lang w:val="zh-CN"/>
        </w:rPr>
        <w:t>至</w:t>
      </w:r>
      <w:r w:rsidR="00671F93">
        <w:rPr>
          <w:rFonts w:ascii="仿宋_GB2312" w:eastAsia="仿宋_GB2312"/>
          <w:bCs/>
          <w:sz w:val="32"/>
          <w:szCs w:val="32"/>
          <w:lang w:val="zh-CN"/>
        </w:rPr>
        <w:t>1000万元的中等标的案件</w:t>
      </w:r>
      <w:r w:rsidR="00671F93">
        <w:rPr>
          <w:rFonts w:ascii="仿宋_GB2312" w:eastAsia="仿宋_GB2312" w:hint="eastAsia"/>
          <w:bCs/>
          <w:sz w:val="32"/>
          <w:szCs w:val="32"/>
          <w:lang w:val="zh-CN"/>
        </w:rPr>
        <w:t>142</w:t>
      </w:r>
      <w:r w:rsidR="00671F93">
        <w:rPr>
          <w:rFonts w:ascii="仿宋_GB2312" w:eastAsia="仿宋_GB2312"/>
          <w:bCs/>
          <w:sz w:val="32"/>
          <w:szCs w:val="32"/>
          <w:lang w:val="zh-CN"/>
        </w:rPr>
        <w:t>件，占比</w:t>
      </w:r>
      <w:r w:rsidR="00671F93">
        <w:rPr>
          <w:rFonts w:ascii="仿宋_GB2312" w:eastAsia="仿宋_GB2312" w:hint="eastAsia"/>
          <w:bCs/>
          <w:sz w:val="32"/>
          <w:szCs w:val="32"/>
          <w:lang w:val="zh-CN"/>
        </w:rPr>
        <w:t>33.57</w:t>
      </w:r>
      <w:r w:rsidR="00671F93">
        <w:rPr>
          <w:rFonts w:ascii="仿宋_GB2312" w:eastAsia="仿宋_GB2312"/>
          <w:bCs/>
          <w:sz w:val="32"/>
          <w:szCs w:val="32"/>
          <w:lang w:val="zh-CN"/>
        </w:rPr>
        <w:t>%；标的额在1000万元以上的大标的案件</w:t>
      </w:r>
      <w:r w:rsidR="00671F93">
        <w:rPr>
          <w:rFonts w:ascii="仿宋_GB2312" w:eastAsia="仿宋_GB2312" w:hint="eastAsia"/>
          <w:bCs/>
          <w:sz w:val="32"/>
          <w:szCs w:val="32"/>
          <w:lang w:val="zh-CN"/>
        </w:rPr>
        <w:t>66</w:t>
      </w:r>
      <w:r w:rsidR="00671F93">
        <w:rPr>
          <w:rFonts w:ascii="仿宋_GB2312" w:eastAsia="仿宋_GB2312"/>
          <w:bCs/>
          <w:sz w:val="32"/>
          <w:szCs w:val="32"/>
          <w:lang w:val="zh-CN"/>
        </w:rPr>
        <w:t>件，占比</w:t>
      </w:r>
      <w:r w:rsidR="00671F93">
        <w:rPr>
          <w:rFonts w:ascii="仿宋_GB2312" w:eastAsia="仿宋_GB2312" w:hint="eastAsia"/>
          <w:bCs/>
          <w:sz w:val="32"/>
          <w:szCs w:val="32"/>
          <w:lang w:val="zh-CN"/>
        </w:rPr>
        <w:t>15.60</w:t>
      </w:r>
      <w:r w:rsidR="00671F93">
        <w:rPr>
          <w:rFonts w:ascii="仿宋_GB2312" w:eastAsia="仿宋_GB2312"/>
          <w:bCs/>
          <w:sz w:val="32"/>
          <w:szCs w:val="32"/>
          <w:lang w:val="zh-CN"/>
        </w:rPr>
        <w:t>%。</w:t>
      </w:r>
      <w:r w:rsidR="00671F93">
        <w:rPr>
          <w:rFonts w:ascii="仿宋_GB2312" w:eastAsia="仿宋_GB2312" w:hint="eastAsia"/>
          <w:bCs/>
          <w:sz w:val="32"/>
          <w:szCs w:val="32"/>
          <w:lang w:val="zh-CN"/>
        </w:rPr>
        <w:t>与</w:t>
      </w:r>
      <w:r w:rsidR="00E342F6">
        <w:rPr>
          <w:rFonts w:ascii="仿宋_GB2312" w:eastAsia="仿宋_GB2312" w:hint="eastAsia"/>
          <w:bCs/>
          <w:sz w:val="32"/>
          <w:szCs w:val="32"/>
          <w:lang w:val="zh-CN"/>
        </w:rPr>
        <w:t>2021</w:t>
      </w:r>
      <w:r w:rsidR="00671F93">
        <w:rPr>
          <w:rFonts w:ascii="仿宋_GB2312" w:eastAsia="仿宋_GB2312" w:hint="eastAsia"/>
          <w:bCs/>
          <w:sz w:val="32"/>
          <w:szCs w:val="32"/>
          <w:lang w:val="zh-CN"/>
        </w:rPr>
        <w:t>年相比，各区间段标的额案件占比较为稳定，案件平均标的额亦与</w:t>
      </w:r>
      <w:r w:rsidR="00E342F6">
        <w:rPr>
          <w:rFonts w:ascii="仿宋_GB2312" w:eastAsia="仿宋_GB2312" w:hint="eastAsia"/>
          <w:bCs/>
          <w:sz w:val="32"/>
          <w:szCs w:val="32"/>
          <w:lang w:val="zh-CN"/>
        </w:rPr>
        <w:t>同期</w:t>
      </w:r>
      <w:r w:rsidR="00671F93">
        <w:rPr>
          <w:rFonts w:ascii="仿宋_GB2312" w:eastAsia="仿宋_GB2312" w:hint="eastAsia"/>
          <w:bCs/>
          <w:sz w:val="32"/>
          <w:szCs w:val="32"/>
          <w:lang w:val="zh-CN"/>
        </w:rPr>
        <w:t>持平</w:t>
      </w:r>
      <w:r w:rsidR="00BE42E0">
        <w:rPr>
          <w:rFonts w:ascii="仿宋_GB2312" w:eastAsia="仿宋_GB2312" w:hint="eastAsia"/>
          <w:bCs/>
          <w:sz w:val="32"/>
          <w:szCs w:val="32"/>
          <w:lang w:val="zh-CN"/>
        </w:rPr>
        <w:t>（见图2）。</w:t>
      </w:r>
    </w:p>
    <w:p w:rsidR="003E37D2" w:rsidRPr="003E37D2" w:rsidRDefault="003E37D2" w:rsidP="00454166">
      <w:pPr>
        <w:spacing w:line="600" w:lineRule="exact"/>
        <w:jc w:val="center"/>
        <w:rPr>
          <w:rFonts w:ascii="楷体" w:eastAsia="楷体" w:hAnsi="楷体"/>
          <w:sz w:val="32"/>
          <w:szCs w:val="32"/>
        </w:rPr>
      </w:pPr>
      <w:r w:rsidRPr="003E37D2">
        <w:rPr>
          <w:rFonts w:ascii="楷体" w:eastAsia="楷体" w:hAnsi="楷体" w:hint="eastAsia"/>
          <w:sz w:val="32"/>
          <w:szCs w:val="32"/>
        </w:rPr>
        <w:t>图2：全市法院2022年受理一审涉外商事案件标的金额分布</w:t>
      </w:r>
      <w:r w:rsidR="007C216A">
        <w:rPr>
          <w:rFonts w:ascii="楷体" w:eastAsia="楷体" w:hAnsi="楷体" w:hint="eastAsia"/>
          <w:sz w:val="32"/>
          <w:szCs w:val="32"/>
        </w:rPr>
        <w:t>情况</w:t>
      </w:r>
    </w:p>
    <w:p w:rsidR="004B329B" w:rsidRPr="008A23E4" w:rsidRDefault="00671F93" w:rsidP="008A23E4">
      <w:pPr>
        <w:ind w:firstLineChars="200" w:firstLine="640"/>
        <w:rPr>
          <w:rFonts w:ascii="楷体" w:eastAsia="楷体" w:hAnsi="楷体" w:cs="华文楷体"/>
          <w:bCs/>
          <w:kern w:val="0"/>
          <w:sz w:val="32"/>
          <w:szCs w:val="32"/>
        </w:rPr>
      </w:pPr>
      <w:r w:rsidRPr="00BC4A84">
        <w:rPr>
          <w:rFonts w:ascii="楷体" w:eastAsia="楷体" w:hAnsi="楷体" w:cs="华文楷体"/>
          <w:bCs/>
          <w:noProof/>
          <w:kern w:val="0"/>
          <w:sz w:val="32"/>
          <w:szCs w:val="32"/>
        </w:rPr>
        <w:drawing>
          <wp:anchor distT="0" distB="0" distL="114300" distR="114300" simplePos="0" relativeHeight="251660288" behindDoc="0" locked="0" layoutInCell="1" allowOverlap="1" wp14:anchorId="13B5C212" wp14:editId="3EE2DCB8">
            <wp:simplePos x="0" y="0"/>
            <wp:positionH relativeFrom="column">
              <wp:posOffset>482600</wp:posOffset>
            </wp:positionH>
            <wp:positionV relativeFrom="paragraph">
              <wp:posOffset>108585</wp:posOffset>
            </wp:positionV>
            <wp:extent cx="4572000" cy="2743200"/>
            <wp:effectExtent l="0" t="0" r="19050" b="1905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7C0EB3">
        <w:rPr>
          <w:rFonts w:ascii="楷体" w:eastAsia="楷体" w:hAnsi="楷体" w:cs="华文楷体" w:hint="eastAsia"/>
          <w:bCs/>
          <w:kern w:val="0"/>
          <w:sz w:val="32"/>
          <w:szCs w:val="32"/>
        </w:rPr>
        <w:t>4.</w:t>
      </w:r>
      <w:r w:rsidR="00083ACA">
        <w:rPr>
          <w:rFonts w:ascii="楷体" w:eastAsia="楷体" w:hAnsi="楷体" w:cs="华文楷体" w:hint="eastAsia"/>
          <w:bCs/>
          <w:kern w:val="0"/>
          <w:sz w:val="32"/>
          <w:szCs w:val="32"/>
        </w:rPr>
        <w:t>涉台案件占比较高</w:t>
      </w:r>
      <w:r w:rsidR="008A23E4">
        <w:rPr>
          <w:rFonts w:ascii="楷体" w:eastAsia="楷体" w:hAnsi="楷体" w:cs="华文楷体" w:hint="eastAsia"/>
          <w:bCs/>
          <w:kern w:val="0"/>
          <w:sz w:val="32"/>
          <w:szCs w:val="32"/>
        </w:rPr>
        <w:t>。</w:t>
      </w:r>
      <w:r>
        <w:rPr>
          <w:rFonts w:ascii="仿宋_GB2312" w:eastAsia="仿宋_GB2312" w:hint="eastAsia"/>
          <w:bCs/>
          <w:sz w:val="32"/>
          <w:szCs w:val="32"/>
          <w:lang w:val="zh-CN"/>
        </w:rPr>
        <w:t>苏州是台商在大陆投资最多、台资企业最为密集的地区之一,因此</w:t>
      </w:r>
      <w:r w:rsidR="003B6702">
        <w:rPr>
          <w:rFonts w:ascii="仿宋_GB2312" w:eastAsia="仿宋_GB2312" w:hint="eastAsia"/>
          <w:bCs/>
          <w:sz w:val="32"/>
          <w:szCs w:val="32"/>
          <w:lang w:val="zh-CN"/>
        </w:rPr>
        <w:t>全市</w:t>
      </w:r>
      <w:r>
        <w:rPr>
          <w:rFonts w:ascii="仿宋_GB2312" w:eastAsia="仿宋_GB2312" w:hint="eastAsia"/>
          <w:bCs/>
          <w:sz w:val="32"/>
          <w:szCs w:val="32"/>
          <w:lang w:val="zh-CN"/>
        </w:rPr>
        <w:t>法院受理的涉台商事案件也较多。2022年，</w:t>
      </w:r>
      <w:r w:rsidR="00C57E0E">
        <w:rPr>
          <w:rFonts w:ascii="仿宋_GB2312" w:eastAsia="仿宋_GB2312" w:hint="eastAsia"/>
          <w:bCs/>
          <w:sz w:val="32"/>
          <w:szCs w:val="32"/>
          <w:lang w:val="zh-CN"/>
        </w:rPr>
        <w:t>共</w:t>
      </w:r>
      <w:r>
        <w:rPr>
          <w:rFonts w:ascii="仿宋_GB2312" w:eastAsia="仿宋_GB2312" w:hint="eastAsia"/>
          <w:bCs/>
          <w:sz w:val="32"/>
          <w:szCs w:val="32"/>
          <w:lang w:val="zh-CN"/>
        </w:rPr>
        <w:t>新收一审涉台商事案件121件，占所有新收一审涉外、涉港澳台商事案件的44.65%。</w:t>
      </w:r>
    </w:p>
    <w:p w:rsidR="004B329B" w:rsidRDefault="003E1991" w:rsidP="003E1991">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二、</w:t>
      </w:r>
      <w:r w:rsidR="00671F93">
        <w:rPr>
          <w:rFonts w:ascii="黑体" w:eastAsia="黑体" w:hAnsi="黑体" w:cs="黑体" w:hint="eastAsia"/>
          <w:kern w:val="0"/>
          <w:sz w:val="32"/>
          <w:szCs w:val="32"/>
        </w:rPr>
        <w:t>涉外、涉港澳台商事案件主要特点</w:t>
      </w:r>
    </w:p>
    <w:p w:rsidR="004B329B" w:rsidRPr="002F3C25" w:rsidRDefault="007C0EB3" w:rsidP="002F3C25">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1.</w:t>
      </w:r>
      <w:r w:rsidR="00671F93" w:rsidRPr="00BC4A84">
        <w:rPr>
          <w:rFonts w:ascii="楷体" w:eastAsia="楷体" w:hAnsi="楷体" w:cs="华文楷体" w:hint="eastAsia"/>
          <w:bCs/>
          <w:kern w:val="0"/>
          <w:sz w:val="32"/>
          <w:szCs w:val="32"/>
        </w:rPr>
        <w:t>涉外因素内容丰富，经济形态新颖性高</w:t>
      </w:r>
      <w:r w:rsidR="002F3C25">
        <w:rPr>
          <w:rFonts w:ascii="楷体" w:eastAsia="楷体" w:hAnsi="楷体" w:cs="华文楷体" w:hint="eastAsia"/>
          <w:bCs/>
          <w:kern w:val="0"/>
          <w:sz w:val="32"/>
          <w:szCs w:val="32"/>
        </w:rPr>
        <w:t>。</w:t>
      </w:r>
      <w:r w:rsidR="00671F93">
        <w:rPr>
          <w:rFonts w:ascii="仿宋_GB2312" w:eastAsia="仿宋_GB2312" w:hint="eastAsia"/>
          <w:sz w:val="32"/>
          <w:szCs w:val="32"/>
        </w:rPr>
        <w:t>随着</w:t>
      </w:r>
      <w:r w:rsidR="00E242E6">
        <w:rPr>
          <w:rFonts w:ascii="仿宋_GB2312" w:eastAsia="仿宋_GB2312" w:hint="eastAsia"/>
          <w:sz w:val="32"/>
          <w:szCs w:val="32"/>
        </w:rPr>
        <w:t>我市</w:t>
      </w:r>
      <w:r w:rsidR="00671F93">
        <w:rPr>
          <w:rFonts w:ascii="仿宋_GB2312" w:eastAsia="仿宋_GB2312" w:hint="eastAsia"/>
          <w:sz w:val="32"/>
          <w:szCs w:val="32"/>
        </w:rPr>
        <w:t>开放化程度的不断提高</w:t>
      </w:r>
      <w:r w:rsidR="006568C6">
        <w:rPr>
          <w:rFonts w:ascii="仿宋_GB2312" w:eastAsia="仿宋_GB2312" w:hint="eastAsia"/>
          <w:sz w:val="32"/>
          <w:szCs w:val="32"/>
        </w:rPr>
        <w:t>，</w:t>
      </w:r>
      <w:r w:rsidR="00671F93">
        <w:rPr>
          <w:rFonts w:ascii="仿宋_GB2312" w:eastAsia="仿宋_GB2312" w:hint="eastAsia"/>
          <w:sz w:val="32"/>
          <w:szCs w:val="32"/>
        </w:rPr>
        <w:t>跨国交易</w:t>
      </w:r>
      <w:r w:rsidR="00091966">
        <w:rPr>
          <w:rFonts w:ascii="仿宋_GB2312" w:eastAsia="仿宋_GB2312" w:hint="eastAsia"/>
          <w:sz w:val="32"/>
          <w:szCs w:val="32"/>
        </w:rPr>
        <w:t>不断呈现</w:t>
      </w:r>
      <w:r w:rsidR="00671F93">
        <w:rPr>
          <w:rFonts w:ascii="仿宋_GB2312" w:eastAsia="仿宋_GB2312" w:hint="eastAsia"/>
          <w:sz w:val="32"/>
          <w:szCs w:val="32"/>
        </w:rPr>
        <w:t>精细化、专业化</w:t>
      </w:r>
      <w:r w:rsidR="00091966">
        <w:rPr>
          <w:rFonts w:ascii="仿宋_GB2312" w:eastAsia="仿宋_GB2312" w:hint="eastAsia"/>
          <w:sz w:val="32"/>
          <w:szCs w:val="32"/>
        </w:rPr>
        <w:t>趋势</w:t>
      </w:r>
      <w:r w:rsidR="00671F93">
        <w:rPr>
          <w:rFonts w:ascii="仿宋_GB2312" w:eastAsia="仿宋_GB2312" w:hint="eastAsia"/>
          <w:sz w:val="32"/>
          <w:szCs w:val="32"/>
        </w:rPr>
        <w:t>，</w:t>
      </w:r>
      <w:r w:rsidR="004A3922">
        <w:rPr>
          <w:rFonts w:ascii="仿宋_GB2312" w:eastAsia="仿宋_GB2312" w:hint="eastAsia"/>
          <w:sz w:val="32"/>
          <w:szCs w:val="32"/>
        </w:rPr>
        <w:t>涉外、涉港澳台商事</w:t>
      </w:r>
      <w:r w:rsidR="00671F93">
        <w:rPr>
          <w:rFonts w:ascii="仿宋_GB2312" w:eastAsia="仿宋_GB2312" w:hint="eastAsia"/>
          <w:sz w:val="32"/>
          <w:szCs w:val="32"/>
        </w:rPr>
        <w:t>案件</w:t>
      </w:r>
      <w:r w:rsidR="00091966">
        <w:rPr>
          <w:rFonts w:ascii="仿宋_GB2312" w:eastAsia="仿宋_GB2312" w:hint="eastAsia"/>
          <w:sz w:val="32"/>
          <w:szCs w:val="32"/>
        </w:rPr>
        <w:t>的涉外特征已不仅仅局限于当事人居住地，而是广泛分布于</w:t>
      </w:r>
      <w:r w:rsidR="00671F93">
        <w:rPr>
          <w:rFonts w:ascii="仿宋_GB2312" w:eastAsia="仿宋_GB2312" w:hint="eastAsia"/>
          <w:sz w:val="32"/>
          <w:szCs w:val="32"/>
        </w:rPr>
        <w:t>关联主体、贸易形式、交易环节等</w:t>
      </w:r>
      <w:r w:rsidR="00091966">
        <w:rPr>
          <w:rFonts w:ascii="仿宋_GB2312" w:eastAsia="仿宋_GB2312" w:hint="eastAsia"/>
          <w:sz w:val="32"/>
          <w:szCs w:val="32"/>
        </w:rPr>
        <w:t>多个</w:t>
      </w:r>
      <w:r w:rsidR="00671F93">
        <w:rPr>
          <w:rFonts w:ascii="仿宋_GB2312" w:eastAsia="仿宋_GB2312" w:hint="eastAsia"/>
          <w:sz w:val="32"/>
          <w:szCs w:val="32"/>
        </w:rPr>
        <w:t>方面。如诉</w:t>
      </w:r>
      <w:r w:rsidR="00671F93">
        <w:rPr>
          <w:rFonts w:ascii="仿宋_GB2312" w:eastAsia="仿宋_GB2312" w:hint="eastAsia"/>
          <w:sz w:val="32"/>
          <w:szCs w:val="32"/>
        </w:rPr>
        <w:lastRenderedPageBreak/>
        <w:t>讼参加人系外籍人士或经常居住于境外、系争合同照搬境外业务模式、关键证据材料形成于境外、支付款项通过境外第三方公司完成、合同履行地在境外、境内向境外投资等等。</w:t>
      </w:r>
      <w:r w:rsidR="00091966">
        <w:rPr>
          <w:rFonts w:ascii="仿宋_GB2312" w:eastAsia="仿宋_GB2312" w:hint="eastAsia"/>
          <w:sz w:val="32"/>
          <w:szCs w:val="32"/>
        </w:rPr>
        <w:t>与此同时，</w:t>
      </w:r>
      <w:r w:rsidR="00671F93">
        <w:rPr>
          <w:rFonts w:ascii="仿宋_GB2312" w:eastAsia="仿宋_GB2312" w:hint="eastAsia"/>
          <w:sz w:val="32"/>
          <w:szCs w:val="32"/>
        </w:rPr>
        <w:t>涉外、涉港澳台商事案件</w:t>
      </w:r>
      <w:r w:rsidR="00091966">
        <w:rPr>
          <w:rFonts w:ascii="仿宋_GB2312" w:eastAsia="仿宋_GB2312" w:hint="eastAsia"/>
          <w:sz w:val="32"/>
          <w:szCs w:val="32"/>
        </w:rPr>
        <w:t>所涉行业及交易类型多元化、新型化趋势明显。2022年受理的案件涉及</w:t>
      </w:r>
      <w:r w:rsidR="00671F93">
        <w:rPr>
          <w:rFonts w:ascii="仿宋_GB2312" w:eastAsia="仿宋_GB2312" w:hint="eastAsia"/>
          <w:sz w:val="32"/>
          <w:szCs w:val="32"/>
        </w:rPr>
        <w:t>高新技术、网络科技、生物医药、文化传媒、餐饮服务、跨境电商等多个行业，贸易内容亦向</w:t>
      </w:r>
      <w:r w:rsidR="00E342F6">
        <w:rPr>
          <w:rFonts w:ascii="仿宋_GB2312" w:eastAsia="仿宋_GB2312" w:hint="eastAsia"/>
          <w:sz w:val="32"/>
          <w:szCs w:val="32"/>
        </w:rPr>
        <w:t>金融信息服务、企业品牌策划、管理咨询服务等新类型拓展</w:t>
      </w:r>
      <w:r w:rsidR="00671F93">
        <w:rPr>
          <w:rFonts w:ascii="仿宋_GB2312" w:eastAsia="仿宋_GB2312" w:hint="eastAsia"/>
          <w:sz w:val="32"/>
          <w:szCs w:val="32"/>
        </w:rPr>
        <w:t>。</w:t>
      </w:r>
    </w:p>
    <w:p w:rsidR="004B329B" w:rsidRPr="002F3C25" w:rsidRDefault="007C0EB3" w:rsidP="002F3C25">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2.</w:t>
      </w:r>
      <w:r w:rsidR="00671F93" w:rsidRPr="00BC4A84">
        <w:rPr>
          <w:rFonts w:ascii="楷体" w:eastAsia="楷体" w:hAnsi="楷体" w:cs="华文楷体" w:hint="eastAsia"/>
          <w:bCs/>
          <w:kern w:val="0"/>
          <w:sz w:val="32"/>
          <w:szCs w:val="32"/>
        </w:rPr>
        <w:t>投资者</w:t>
      </w:r>
      <w:r w:rsidR="00083ACA">
        <w:rPr>
          <w:rFonts w:ascii="楷体" w:eastAsia="楷体" w:hAnsi="楷体" w:cs="华文楷体" w:hint="eastAsia"/>
          <w:bCs/>
          <w:kern w:val="0"/>
          <w:sz w:val="32"/>
          <w:szCs w:val="32"/>
        </w:rPr>
        <w:t>司法</w:t>
      </w:r>
      <w:r w:rsidR="00671F93" w:rsidRPr="00BC4A84">
        <w:rPr>
          <w:rFonts w:ascii="楷体" w:eastAsia="楷体" w:hAnsi="楷体" w:cs="华文楷体" w:hint="eastAsia"/>
          <w:bCs/>
          <w:kern w:val="0"/>
          <w:sz w:val="32"/>
          <w:szCs w:val="32"/>
        </w:rPr>
        <w:t>保护需求强，</w:t>
      </w:r>
      <w:r w:rsidR="00294926" w:rsidRPr="00BC4A84">
        <w:rPr>
          <w:rFonts w:ascii="楷体" w:eastAsia="楷体" w:hAnsi="楷体" w:cs="华文楷体" w:hint="eastAsia"/>
          <w:bCs/>
          <w:kern w:val="0"/>
          <w:sz w:val="32"/>
          <w:szCs w:val="32"/>
        </w:rPr>
        <w:t>案件处理难度</w:t>
      </w:r>
      <w:r w:rsidR="00091966" w:rsidRPr="00BC4A84">
        <w:rPr>
          <w:rFonts w:ascii="楷体" w:eastAsia="楷体" w:hAnsi="楷体" w:cs="华文楷体" w:hint="eastAsia"/>
          <w:bCs/>
          <w:kern w:val="0"/>
          <w:sz w:val="32"/>
          <w:szCs w:val="32"/>
        </w:rPr>
        <w:t>加大</w:t>
      </w:r>
      <w:r w:rsidR="002F3C25">
        <w:rPr>
          <w:rFonts w:ascii="楷体" w:eastAsia="楷体" w:hAnsi="楷体" w:cs="华文楷体" w:hint="eastAsia"/>
          <w:bCs/>
          <w:kern w:val="0"/>
          <w:sz w:val="32"/>
          <w:szCs w:val="32"/>
        </w:rPr>
        <w:t>。</w:t>
      </w:r>
      <w:r w:rsidR="00886C66">
        <w:rPr>
          <w:rFonts w:ascii="仿宋_GB2312" w:eastAsia="仿宋_GB2312" w:hint="eastAsia"/>
          <w:bCs/>
          <w:sz w:val="32"/>
          <w:szCs w:val="32"/>
        </w:rPr>
        <w:t>随着我市外商</w:t>
      </w:r>
      <w:r w:rsidR="00671F93">
        <w:rPr>
          <w:rFonts w:ascii="仿宋_GB2312" w:eastAsia="仿宋_GB2312" w:hint="eastAsia"/>
          <w:bCs/>
          <w:sz w:val="32"/>
          <w:szCs w:val="32"/>
        </w:rPr>
        <w:t>投资便利措施</w:t>
      </w:r>
      <w:r w:rsidR="003F5688">
        <w:rPr>
          <w:rFonts w:ascii="仿宋_GB2312" w:eastAsia="仿宋_GB2312" w:hint="eastAsia"/>
          <w:bCs/>
          <w:sz w:val="32"/>
          <w:szCs w:val="32"/>
        </w:rPr>
        <w:t>的不断落地，外商</w:t>
      </w:r>
      <w:r w:rsidR="00671F93">
        <w:rPr>
          <w:rFonts w:ascii="仿宋_GB2312" w:eastAsia="仿宋_GB2312" w:hint="eastAsia"/>
          <w:bCs/>
          <w:sz w:val="32"/>
          <w:szCs w:val="32"/>
        </w:rPr>
        <w:t>投资</w:t>
      </w:r>
      <w:r w:rsidR="003F5688">
        <w:rPr>
          <w:rFonts w:ascii="仿宋_GB2312" w:eastAsia="仿宋_GB2312" w:hint="eastAsia"/>
          <w:bCs/>
          <w:sz w:val="32"/>
          <w:szCs w:val="32"/>
        </w:rPr>
        <w:t>规模不断</w:t>
      </w:r>
      <w:r w:rsidR="004A3922">
        <w:rPr>
          <w:rFonts w:ascii="仿宋_GB2312" w:eastAsia="仿宋_GB2312" w:hint="eastAsia"/>
          <w:bCs/>
          <w:sz w:val="32"/>
          <w:szCs w:val="32"/>
        </w:rPr>
        <w:t>扩大</w:t>
      </w:r>
      <w:r w:rsidR="00671F93">
        <w:rPr>
          <w:rFonts w:ascii="仿宋_GB2312" w:eastAsia="仿宋_GB2312" w:hint="eastAsia"/>
          <w:bCs/>
          <w:sz w:val="32"/>
          <w:szCs w:val="32"/>
        </w:rPr>
        <w:t>。</w:t>
      </w:r>
      <w:r w:rsidR="004A3922">
        <w:rPr>
          <w:rFonts w:ascii="仿宋_GB2312" w:eastAsia="仿宋_GB2312" w:hint="eastAsia"/>
          <w:bCs/>
          <w:sz w:val="32"/>
          <w:szCs w:val="32"/>
        </w:rPr>
        <w:t>与此同时，</w:t>
      </w:r>
      <w:r w:rsidR="00886C66">
        <w:rPr>
          <w:rFonts w:ascii="仿宋_GB2312" w:eastAsia="仿宋_GB2312" w:hint="eastAsia"/>
          <w:bCs/>
          <w:sz w:val="32"/>
          <w:szCs w:val="32"/>
        </w:rPr>
        <w:t>全市法院受理的</w:t>
      </w:r>
      <w:r w:rsidR="00671F93">
        <w:rPr>
          <w:rFonts w:ascii="仿宋_GB2312" w:eastAsia="仿宋_GB2312" w:hint="eastAsia"/>
          <w:bCs/>
          <w:sz w:val="32"/>
          <w:szCs w:val="32"/>
        </w:rPr>
        <w:t>涉外、涉港澳台商事案件中，涉及公司投资类</w:t>
      </w:r>
      <w:r w:rsidR="00886C66">
        <w:rPr>
          <w:rFonts w:ascii="仿宋_GB2312" w:eastAsia="仿宋_GB2312" w:hint="eastAsia"/>
          <w:bCs/>
          <w:sz w:val="32"/>
          <w:szCs w:val="32"/>
        </w:rPr>
        <w:t>的</w:t>
      </w:r>
      <w:r w:rsidR="00671F93">
        <w:rPr>
          <w:rFonts w:ascii="仿宋_GB2312" w:eastAsia="仿宋_GB2312" w:hint="eastAsia"/>
          <w:bCs/>
          <w:sz w:val="32"/>
          <w:szCs w:val="32"/>
        </w:rPr>
        <w:t>纠纷比例</w:t>
      </w:r>
      <w:r w:rsidR="003F5688">
        <w:rPr>
          <w:rFonts w:ascii="仿宋_GB2312" w:eastAsia="仿宋_GB2312" w:hint="eastAsia"/>
          <w:bCs/>
          <w:sz w:val="32"/>
          <w:szCs w:val="32"/>
        </w:rPr>
        <w:t>亦不断提升</w:t>
      </w:r>
      <w:r w:rsidR="00671F93">
        <w:rPr>
          <w:rFonts w:ascii="仿宋_GB2312" w:eastAsia="仿宋_GB2312" w:hint="eastAsia"/>
          <w:bCs/>
          <w:sz w:val="32"/>
          <w:szCs w:val="32"/>
        </w:rPr>
        <w:t>。</w:t>
      </w:r>
      <w:r w:rsidR="00886C66">
        <w:rPr>
          <w:rFonts w:ascii="仿宋_GB2312" w:eastAsia="仿宋_GB2312" w:hint="eastAsia"/>
          <w:bCs/>
          <w:sz w:val="32"/>
          <w:szCs w:val="32"/>
        </w:rPr>
        <w:t>该类案件涉及</w:t>
      </w:r>
      <w:r w:rsidR="00671F93">
        <w:rPr>
          <w:rFonts w:ascii="仿宋_GB2312" w:eastAsia="仿宋_GB2312" w:hint="eastAsia"/>
          <w:bCs/>
          <w:sz w:val="32"/>
          <w:szCs w:val="32"/>
        </w:rPr>
        <w:t>境外投资者股权转让、股东资格确认、股东出资、损害公司利益等</w:t>
      </w:r>
      <w:r w:rsidR="00886C66">
        <w:rPr>
          <w:rFonts w:ascii="仿宋_GB2312" w:eastAsia="仿宋_GB2312" w:hint="eastAsia"/>
          <w:bCs/>
          <w:sz w:val="32"/>
          <w:szCs w:val="32"/>
        </w:rPr>
        <w:t>多个领域</w:t>
      </w:r>
      <w:r w:rsidR="00671F93">
        <w:rPr>
          <w:rFonts w:ascii="仿宋_GB2312" w:eastAsia="仿宋_GB2312" w:hint="eastAsia"/>
          <w:bCs/>
          <w:sz w:val="32"/>
          <w:szCs w:val="32"/>
        </w:rPr>
        <w:t>，发生于公司设立、股权转让、增资、解散、清算等多个环节，</w:t>
      </w:r>
      <w:r w:rsidR="00886C66">
        <w:rPr>
          <w:rFonts w:ascii="仿宋_GB2312" w:eastAsia="仿宋_GB2312" w:hint="eastAsia"/>
          <w:bCs/>
          <w:sz w:val="32"/>
          <w:szCs w:val="32"/>
        </w:rPr>
        <w:t>凸显出投资者</w:t>
      </w:r>
      <w:r w:rsidR="00083ACA">
        <w:rPr>
          <w:rFonts w:ascii="仿宋_GB2312" w:eastAsia="仿宋_GB2312" w:hint="eastAsia"/>
          <w:bCs/>
          <w:sz w:val="32"/>
          <w:szCs w:val="32"/>
        </w:rPr>
        <w:t>司法</w:t>
      </w:r>
      <w:r w:rsidR="00886C66">
        <w:rPr>
          <w:rFonts w:ascii="仿宋_GB2312" w:eastAsia="仿宋_GB2312" w:hint="eastAsia"/>
          <w:bCs/>
          <w:sz w:val="32"/>
          <w:szCs w:val="32"/>
        </w:rPr>
        <w:t>保护的强烈需求</w:t>
      </w:r>
      <w:r w:rsidR="00671F93">
        <w:rPr>
          <w:rFonts w:ascii="仿宋_GB2312" w:eastAsia="仿宋_GB2312" w:hint="eastAsia"/>
          <w:bCs/>
          <w:sz w:val="32"/>
          <w:szCs w:val="32"/>
        </w:rPr>
        <w:t>。</w:t>
      </w:r>
      <w:r w:rsidR="00E242E6">
        <w:rPr>
          <w:rFonts w:ascii="仿宋_GB2312" w:eastAsia="仿宋_GB2312" w:hint="eastAsia"/>
          <w:bCs/>
          <w:sz w:val="32"/>
          <w:szCs w:val="32"/>
        </w:rPr>
        <w:t>该类案件</w:t>
      </w:r>
      <w:r w:rsidR="00294926">
        <w:rPr>
          <w:rFonts w:ascii="仿宋_GB2312" w:eastAsia="仿宋_GB2312" w:hint="eastAsia"/>
          <w:bCs/>
          <w:sz w:val="32"/>
          <w:szCs w:val="32"/>
        </w:rPr>
        <w:t>在处理时，需在坚持内外资平等保护原则的前提下，</w:t>
      </w:r>
      <w:r w:rsidR="00E242E6">
        <w:rPr>
          <w:rFonts w:ascii="仿宋_GB2312" w:eastAsia="仿宋_GB2312" w:hint="eastAsia"/>
          <w:bCs/>
          <w:sz w:val="32"/>
          <w:szCs w:val="32"/>
        </w:rPr>
        <w:t>妥善</w:t>
      </w:r>
      <w:r w:rsidR="00294926">
        <w:rPr>
          <w:rFonts w:ascii="仿宋_GB2312" w:eastAsia="仿宋_GB2312" w:hint="eastAsia"/>
          <w:bCs/>
          <w:sz w:val="32"/>
          <w:szCs w:val="32"/>
        </w:rPr>
        <w:t>认定</w:t>
      </w:r>
      <w:r w:rsidR="00671F93">
        <w:rPr>
          <w:rFonts w:ascii="仿宋_GB2312" w:eastAsia="仿宋_GB2312" w:hint="eastAsia"/>
          <w:bCs/>
          <w:sz w:val="32"/>
          <w:szCs w:val="32"/>
        </w:rPr>
        <w:t>股权转让效力、股东不当行使权利、高管损害公司利益等</w:t>
      </w:r>
      <w:r w:rsidR="00294926">
        <w:rPr>
          <w:rFonts w:ascii="仿宋_GB2312" w:eastAsia="仿宋_GB2312" w:hint="eastAsia"/>
          <w:bCs/>
          <w:sz w:val="32"/>
          <w:szCs w:val="32"/>
        </w:rPr>
        <w:t>公司治理方面的</w:t>
      </w:r>
      <w:r w:rsidR="00671F93">
        <w:rPr>
          <w:rFonts w:ascii="仿宋_GB2312" w:eastAsia="仿宋_GB2312" w:hint="eastAsia"/>
          <w:bCs/>
          <w:sz w:val="32"/>
          <w:szCs w:val="32"/>
        </w:rPr>
        <w:t>疑难争议</w:t>
      </w:r>
      <w:r w:rsidR="00294926">
        <w:rPr>
          <w:rFonts w:ascii="仿宋_GB2312" w:eastAsia="仿宋_GB2312" w:hint="eastAsia"/>
          <w:bCs/>
          <w:sz w:val="32"/>
          <w:szCs w:val="32"/>
        </w:rPr>
        <w:t>问题</w:t>
      </w:r>
      <w:r w:rsidR="00671F93">
        <w:rPr>
          <w:rFonts w:ascii="仿宋_GB2312" w:eastAsia="仿宋_GB2312" w:hint="eastAsia"/>
          <w:bCs/>
          <w:sz w:val="32"/>
          <w:szCs w:val="32"/>
        </w:rPr>
        <w:t>，</w:t>
      </w:r>
      <w:r w:rsidR="00E242E6">
        <w:rPr>
          <w:rFonts w:ascii="仿宋_GB2312" w:eastAsia="仿宋_GB2312" w:hint="eastAsia"/>
          <w:bCs/>
          <w:sz w:val="32"/>
          <w:szCs w:val="32"/>
        </w:rPr>
        <w:t>且股东之间的争议往往会引发一系列衍生案件，增加了矛盾纠纷的化解难度。</w:t>
      </w:r>
    </w:p>
    <w:p w:rsidR="004B329B" w:rsidRPr="002F3C25" w:rsidRDefault="007C0EB3" w:rsidP="002F3C25">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3.</w:t>
      </w:r>
      <w:r w:rsidR="00886C66" w:rsidRPr="00BC4A84">
        <w:rPr>
          <w:rFonts w:ascii="楷体" w:eastAsia="楷体" w:hAnsi="楷体" w:cs="华文楷体" w:hint="eastAsia"/>
          <w:bCs/>
          <w:kern w:val="0"/>
          <w:sz w:val="32"/>
          <w:szCs w:val="32"/>
        </w:rPr>
        <w:t>涉外</w:t>
      </w:r>
      <w:r w:rsidR="00671F93" w:rsidRPr="00BC4A84">
        <w:rPr>
          <w:rFonts w:ascii="楷体" w:eastAsia="楷体" w:hAnsi="楷体" w:cs="华文楷体" w:hint="eastAsia"/>
          <w:bCs/>
          <w:kern w:val="0"/>
          <w:sz w:val="32"/>
          <w:szCs w:val="32"/>
        </w:rPr>
        <w:t>主体地域分布广泛，涉“一带一路”司法服务需求增加</w:t>
      </w:r>
      <w:r w:rsidR="002F3C25">
        <w:rPr>
          <w:rFonts w:ascii="楷体" w:eastAsia="楷体" w:hAnsi="楷体" w:cs="华文楷体" w:hint="eastAsia"/>
          <w:bCs/>
          <w:kern w:val="0"/>
          <w:sz w:val="32"/>
          <w:szCs w:val="32"/>
        </w:rPr>
        <w:t>。</w:t>
      </w:r>
      <w:r w:rsidR="00886C66">
        <w:rPr>
          <w:rFonts w:ascii="仿宋_GB2312" w:eastAsia="仿宋_GB2312" w:hint="eastAsia"/>
          <w:sz w:val="32"/>
          <w:szCs w:val="32"/>
        </w:rPr>
        <w:t>2022年，全市法院审理的</w:t>
      </w:r>
      <w:r w:rsidR="00671F93">
        <w:rPr>
          <w:rFonts w:ascii="仿宋_GB2312" w:eastAsia="仿宋_GB2312" w:hint="eastAsia"/>
          <w:sz w:val="32"/>
          <w:szCs w:val="32"/>
        </w:rPr>
        <w:t>涉外商事案件</w:t>
      </w:r>
      <w:r w:rsidR="00886C66">
        <w:rPr>
          <w:rFonts w:ascii="仿宋_GB2312" w:eastAsia="仿宋_GB2312" w:hint="eastAsia"/>
          <w:sz w:val="32"/>
          <w:szCs w:val="32"/>
        </w:rPr>
        <w:t>当事人共</w:t>
      </w:r>
      <w:r w:rsidR="00671F93">
        <w:rPr>
          <w:rFonts w:ascii="仿宋_GB2312" w:eastAsia="仿宋_GB2312" w:hint="eastAsia"/>
          <w:sz w:val="32"/>
          <w:szCs w:val="32"/>
        </w:rPr>
        <w:t>涉及20余个国家和地区。其中涉及</w:t>
      </w:r>
      <w:r w:rsidR="00671F93">
        <w:rPr>
          <w:rFonts w:ascii="仿宋_GB2312" w:eastAsia="仿宋_GB2312" w:hint="eastAsia"/>
          <w:bCs/>
          <w:sz w:val="32"/>
          <w:szCs w:val="32"/>
          <w:lang w:val="zh-CN"/>
        </w:rPr>
        <w:t>新加坡的最多，为42件；涉及美国的次之，为23件；涉及韩国的</w:t>
      </w:r>
      <w:r w:rsidR="00886C66">
        <w:rPr>
          <w:rFonts w:ascii="仿宋_GB2312" w:eastAsia="仿宋_GB2312" w:hint="eastAsia"/>
          <w:bCs/>
          <w:sz w:val="32"/>
          <w:szCs w:val="32"/>
          <w:lang w:val="zh-CN"/>
        </w:rPr>
        <w:t>有</w:t>
      </w:r>
      <w:r w:rsidR="00671F93">
        <w:rPr>
          <w:rFonts w:ascii="仿宋_GB2312" w:eastAsia="仿宋_GB2312" w:hint="eastAsia"/>
          <w:bCs/>
          <w:sz w:val="32"/>
          <w:szCs w:val="32"/>
          <w:lang w:val="zh-CN"/>
        </w:rPr>
        <w:t>14件。</w:t>
      </w:r>
      <w:r w:rsidR="00886C66">
        <w:rPr>
          <w:rFonts w:ascii="仿宋_GB2312" w:eastAsia="仿宋_GB2312" w:hint="eastAsia"/>
          <w:bCs/>
          <w:sz w:val="32"/>
          <w:szCs w:val="32"/>
          <w:lang w:val="zh-CN"/>
        </w:rPr>
        <w:t>涉外主体</w:t>
      </w:r>
      <w:r w:rsidR="003F5688">
        <w:rPr>
          <w:rFonts w:ascii="仿宋_GB2312" w:eastAsia="仿宋_GB2312" w:hint="eastAsia"/>
          <w:bCs/>
          <w:sz w:val="32"/>
          <w:szCs w:val="32"/>
          <w:lang w:val="zh-CN"/>
        </w:rPr>
        <w:t>的</w:t>
      </w:r>
      <w:r w:rsidR="00886C66">
        <w:rPr>
          <w:rFonts w:ascii="仿宋_GB2312" w:eastAsia="仿宋_GB2312" w:hint="eastAsia"/>
          <w:bCs/>
          <w:sz w:val="32"/>
          <w:szCs w:val="32"/>
          <w:lang w:val="zh-CN"/>
        </w:rPr>
        <w:t>地域分布</w:t>
      </w:r>
      <w:r w:rsidR="003F5688">
        <w:rPr>
          <w:rFonts w:ascii="仿宋_GB2312" w:eastAsia="仿宋_GB2312" w:hint="eastAsia"/>
          <w:bCs/>
          <w:sz w:val="32"/>
          <w:szCs w:val="32"/>
          <w:lang w:val="zh-CN"/>
        </w:rPr>
        <w:t>情况</w:t>
      </w:r>
      <w:r w:rsidR="00886C66">
        <w:rPr>
          <w:rFonts w:ascii="仿宋_GB2312" w:eastAsia="仿宋_GB2312" w:hint="eastAsia"/>
          <w:bCs/>
          <w:sz w:val="32"/>
          <w:szCs w:val="32"/>
          <w:lang w:val="zh-CN"/>
        </w:rPr>
        <w:t>，</w:t>
      </w:r>
      <w:r w:rsidR="00671F93">
        <w:rPr>
          <w:rFonts w:ascii="仿宋_GB2312" w:eastAsia="仿宋_GB2312" w:hint="eastAsia"/>
          <w:bCs/>
          <w:sz w:val="32"/>
          <w:szCs w:val="32"/>
          <w:lang w:val="zh-CN"/>
        </w:rPr>
        <w:t>一方</w:t>
      </w:r>
      <w:r w:rsidR="00671F93">
        <w:rPr>
          <w:rFonts w:ascii="仿宋_GB2312" w:eastAsia="仿宋_GB2312" w:hint="eastAsia"/>
          <w:bCs/>
          <w:sz w:val="32"/>
          <w:szCs w:val="32"/>
          <w:lang w:val="zh-CN"/>
        </w:rPr>
        <w:lastRenderedPageBreak/>
        <w:t>面表明</w:t>
      </w:r>
      <w:r w:rsidR="00886C66">
        <w:rPr>
          <w:rFonts w:ascii="仿宋_GB2312" w:eastAsia="仿宋_GB2312" w:hint="eastAsia"/>
          <w:bCs/>
          <w:sz w:val="32"/>
          <w:szCs w:val="32"/>
          <w:lang w:val="zh-CN"/>
        </w:rPr>
        <w:t>我市经济</w:t>
      </w:r>
      <w:r w:rsidR="00671F93">
        <w:rPr>
          <w:rFonts w:ascii="仿宋_GB2312" w:eastAsia="仿宋_GB2312" w:hint="eastAsia"/>
          <w:bCs/>
          <w:sz w:val="32"/>
          <w:szCs w:val="32"/>
          <w:lang w:val="zh-CN"/>
        </w:rPr>
        <w:t>与世界经济</w:t>
      </w:r>
      <w:r w:rsidR="00886C66">
        <w:rPr>
          <w:rFonts w:ascii="仿宋_GB2312" w:eastAsia="仿宋_GB2312" w:hint="eastAsia"/>
          <w:bCs/>
          <w:sz w:val="32"/>
          <w:szCs w:val="32"/>
          <w:lang w:val="zh-CN"/>
        </w:rPr>
        <w:t>的</w:t>
      </w:r>
      <w:r w:rsidR="00671F93">
        <w:rPr>
          <w:rFonts w:ascii="仿宋_GB2312" w:eastAsia="仿宋_GB2312" w:hint="eastAsia"/>
          <w:bCs/>
          <w:sz w:val="32"/>
          <w:szCs w:val="32"/>
          <w:lang w:val="zh-CN"/>
        </w:rPr>
        <w:t>融合</w:t>
      </w:r>
      <w:r w:rsidR="00886C66">
        <w:rPr>
          <w:rFonts w:ascii="仿宋_GB2312" w:eastAsia="仿宋_GB2312" w:hint="eastAsia"/>
          <w:bCs/>
          <w:sz w:val="32"/>
          <w:szCs w:val="32"/>
          <w:lang w:val="zh-CN"/>
        </w:rPr>
        <w:t>越来越深入紧密</w:t>
      </w:r>
      <w:r w:rsidR="00671F93">
        <w:rPr>
          <w:rFonts w:ascii="仿宋_GB2312" w:eastAsia="仿宋_GB2312" w:hint="eastAsia"/>
          <w:bCs/>
          <w:sz w:val="32"/>
          <w:szCs w:val="32"/>
          <w:lang w:val="zh-CN"/>
        </w:rPr>
        <w:t>，另一方面</w:t>
      </w:r>
      <w:r w:rsidR="003F5688">
        <w:rPr>
          <w:rFonts w:ascii="仿宋_GB2312" w:eastAsia="仿宋_GB2312" w:hint="eastAsia"/>
          <w:bCs/>
          <w:sz w:val="32"/>
          <w:szCs w:val="32"/>
          <w:lang w:val="zh-CN"/>
        </w:rPr>
        <w:t>也</w:t>
      </w:r>
      <w:r w:rsidR="00886C66">
        <w:rPr>
          <w:rFonts w:ascii="仿宋_GB2312" w:eastAsia="仿宋_GB2312" w:hint="eastAsia"/>
          <w:bCs/>
          <w:sz w:val="32"/>
          <w:szCs w:val="32"/>
          <w:lang w:val="zh-CN"/>
        </w:rPr>
        <w:t>体现出我市</w:t>
      </w:r>
      <w:r w:rsidR="00671F93">
        <w:rPr>
          <w:rFonts w:ascii="仿宋_GB2312" w:eastAsia="仿宋_GB2312" w:hint="eastAsia"/>
          <w:bCs/>
          <w:sz w:val="32"/>
          <w:szCs w:val="32"/>
          <w:lang w:val="zh-CN"/>
        </w:rPr>
        <w:t>因与新加坡合作共建苏州工业园区而具有</w:t>
      </w:r>
      <w:r w:rsidR="00886C66">
        <w:rPr>
          <w:rFonts w:ascii="仿宋_GB2312" w:eastAsia="仿宋_GB2312" w:hint="eastAsia"/>
          <w:bCs/>
          <w:sz w:val="32"/>
          <w:szCs w:val="32"/>
          <w:lang w:val="zh-CN"/>
        </w:rPr>
        <w:t>的</w:t>
      </w:r>
      <w:r w:rsidR="00671F93">
        <w:rPr>
          <w:rFonts w:ascii="仿宋_GB2312" w:eastAsia="仿宋_GB2312" w:hint="eastAsia"/>
          <w:bCs/>
          <w:sz w:val="32"/>
          <w:szCs w:val="32"/>
          <w:lang w:val="zh-CN"/>
        </w:rPr>
        <w:t>明显地区外向型经济</w:t>
      </w:r>
      <w:r w:rsidR="00E342F6">
        <w:rPr>
          <w:rFonts w:ascii="仿宋_GB2312" w:eastAsia="仿宋_GB2312" w:hint="eastAsia"/>
          <w:bCs/>
          <w:sz w:val="32"/>
          <w:szCs w:val="32"/>
          <w:lang w:val="zh-CN"/>
        </w:rPr>
        <w:t>特征</w:t>
      </w:r>
      <w:r w:rsidR="00671F93">
        <w:rPr>
          <w:rFonts w:ascii="仿宋_GB2312" w:eastAsia="仿宋_GB2312" w:hint="eastAsia"/>
          <w:bCs/>
          <w:sz w:val="32"/>
          <w:szCs w:val="32"/>
          <w:lang w:val="zh-CN"/>
        </w:rPr>
        <w:t>。</w:t>
      </w:r>
      <w:r w:rsidR="00091966">
        <w:rPr>
          <w:rFonts w:ascii="仿宋_GB2312" w:eastAsia="仿宋_GB2312" w:hint="eastAsia"/>
          <w:sz w:val="32"/>
          <w:szCs w:val="32"/>
        </w:rPr>
        <w:t>近年来，国内</w:t>
      </w:r>
      <w:r w:rsidR="003F5688">
        <w:rPr>
          <w:rFonts w:ascii="仿宋_GB2312" w:eastAsia="仿宋_GB2312" w:hint="eastAsia"/>
          <w:sz w:val="32"/>
          <w:szCs w:val="32"/>
        </w:rPr>
        <w:t>企业“走出去”步伐</w:t>
      </w:r>
      <w:r w:rsidR="00091966">
        <w:rPr>
          <w:rFonts w:ascii="仿宋_GB2312" w:eastAsia="仿宋_GB2312" w:hint="eastAsia"/>
          <w:sz w:val="32"/>
          <w:szCs w:val="32"/>
        </w:rPr>
        <w:t>不断加快，尤其是</w:t>
      </w:r>
      <w:r w:rsidR="00091966" w:rsidRPr="00091966">
        <w:rPr>
          <w:rFonts w:ascii="仿宋_GB2312" w:eastAsia="仿宋_GB2312" w:hint="eastAsia"/>
          <w:sz w:val="32"/>
          <w:szCs w:val="32"/>
        </w:rPr>
        <w:t>海外基础设施建设</w:t>
      </w:r>
      <w:r w:rsidR="00807239">
        <w:rPr>
          <w:rFonts w:ascii="仿宋_GB2312" w:eastAsia="仿宋_GB2312" w:hint="eastAsia"/>
          <w:sz w:val="32"/>
          <w:szCs w:val="32"/>
        </w:rPr>
        <w:t>力度不断加大</w:t>
      </w:r>
      <w:r w:rsidR="00091966">
        <w:rPr>
          <w:rFonts w:ascii="仿宋_GB2312" w:eastAsia="仿宋_GB2312" w:hint="eastAsia"/>
          <w:sz w:val="32"/>
          <w:szCs w:val="32"/>
        </w:rPr>
        <w:t>。</w:t>
      </w:r>
      <w:r w:rsidR="00671F93" w:rsidRPr="00091966">
        <w:rPr>
          <w:rFonts w:ascii="仿宋_GB2312" w:eastAsia="仿宋_GB2312" w:hint="eastAsia"/>
          <w:sz w:val="32"/>
          <w:szCs w:val="32"/>
        </w:rPr>
        <w:t>由于所在国地缘政治复杂，经济发展水平不一，法治环境差异大，由此引发的纠纷也不断增多，</w:t>
      </w:r>
      <w:r w:rsidR="00091966">
        <w:rPr>
          <w:rFonts w:ascii="仿宋_GB2312" w:eastAsia="仿宋_GB2312" w:hint="eastAsia"/>
          <w:sz w:val="32"/>
          <w:szCs w:val="32"/>
        </w:rPr>
        <w:t>2022年</w:t>
      </w:r>
      <w:r w:rsidR="003F5688">
        <w:rPr>
          <w:rFonts w:ascii="仿宋_GB2312" w:eastAsia="仿宋_GB2312" w:hint="eastAsia"/>
          <w:sz w:val="32"/>
          <w:szCs w:val="32"/>
        </w:rPr>
        <w:t>，</w:t>
      </w:r>
      <w:r w:rsidR="00091966">
        <w:rPr>
          <w:rFonts w:ascii="仿宋_GB2312" w:eastAsia="仿宋_GB2312" w:hint="eastAsia"/>
          <w:sz w:val="32"/>
          <w:szCs w:val="32"/>
        </w:rPr>
        <w:t>全市法院共受理涉“一带一路”沿线国家和地区的涉外商事案件</w:t>
      </w:r>
      <w:r w:rsidR="006568C6">
        <w:rPr>
          <w:rFonts w:ascii="仿宋_GB2312" w:eastAsia="仿宋_GB2312" w:hint="eastAsia"/>
          <w:sz w:val="32"/>
          <w:szCs w:val="32"/>
        </w:rPr>
        <w:t>54</w:t>
      </w:r>
      <w:r w:rsidR="00091966">
        <w:rPr>
          <w:rFonts w:ascii="仿宋_GB2312" w:eastAsia="仿宋_GB2312" w:hint="eastAsia"/>
          <w:sz w:val="32"/>
          <w:szCs w:val="32"/>
        </w:rPr>
        <w:t>件</w:t>
      </w:r>
      <w:r w:rsidR="00671F93" w:rsidRPr="00091966">
        <w:rPr>
          <w:rFonts w:ascii="仿宋_GB2312" w:eastAsia="仿宋_GB2312" w:hint="eastAsia"/>
          <w:sz w:val="32"/>
          <w:szCs w:val="32"/>
        </w:rPr>
        <w:t>。</w:t>
      </w:r>
    </w:p>
    <w:p w:rsidR="004B329B" w:rsidRPr="00F21014" w:rsidRDefault="007C0EB3" w:rsidP="00F2101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4.</w:t>
      </w:r>
      <w:r w:rsidR="00671F93" w:rsidRPr="00BC4A84">
        <w:rPr>
          <w:rFonts w:ascii="楷体" w:eastAsia="楷体" w:hAnsi="楷体" w:cs="华文楷体" w:hint="eastAsia"/>
          <w:bCs/>
          <w:kern w:val="0"/>
          <w:sz w:val="32"/>
          <w:szCs w:val="32"/>
        </w:rPr>
        <w:t>适用域外法、国际条约</w:t>
      </w:r>
      <w:r w:rsidR="00886C66" w:rsidRPr="00BC4A84">
        <w:rPr>
          <w:rFonts w:ascii="楷体" w:eastAsia="楷体" w:hAnsi="楷体" w:cs="华文楷体" w:hint="eastAsia"/>
          <w:bCs/>
          <w:kern w:val="0"/>
          <w:sz w:val="32"/>
          <w:szCs w:val="32"/>
        </w:rPr>
        <w:t>和</w:t>
      </w:r>
      <w:r w:rsidR="00671F93" w:rsidRPr="00BC4A84">
        <w:rPr>
          <w:rFonts w:ascii="楷体" w:eastAsia="楷体" w:hAnsi="楷体" w:cs="华文楷体" w:hint="eastAsia"/>
          <w:bCs/>
          <w:kern w:val="0"/>
          <w:sz w:val="32"/>
          <w:szCs w:val="32"/>
        </w:rPr>
        <w:t>国际惯例情形逐渐增多</w:t>
      </w:r>
      <w:r w:rsidR="00F21014">
        <w:rPr>
          <w:rFonts w:ascii="楷体" w:eastAsia="楷体" w:hAnsi="楷体" w:cs="华文楷体" w:hint="eastAsia"/>
          <w:bCs/>
          <w:kern w:val="0"/>
          <w:sz w:val="32"/>
          <w:szCs w:val="32"/>
        </w:rPr>
        <w:t>。</w:t>
      </w:r>
      <w:r w:rsidR="00E342F6">
        <w:rPr>
          <w:rFonts w:ascii="仿宋_GB2312" w:eastAsia="仿宋_GB2312" w:hint="eastAsia"/>
          <w:sz w:val="32"/>
          <w:szCs w:val="32"/>
        </w:rPr>
        <w:t>2022年</w:t>
      </w:r>
      <w:r w:rsidR="003F5688">
        <w:rPr>
          <w:rFonts w:ascii="仿宋_GB2312" w:eastAsia="仿宋_GB2312" w:hint="eastAsia"/>
          <w:sz w:val="32"/>
          <w:szCs w:val="32"/>
        </w:rPr>
        <w:t>，全市法院进一步完善域外法查明机制，</w:t>
      </w:r>
      <w:r w:rsidR="00E342F6">
        <w:rPr>
          <w:rFonts w:ascii="仿宋_GB2312" w:eastAsia="仿宋_GB2312" w:hint="eastAsia"/>
          <w:sz w:val="32"/>
          <w:szCs w:val="32"/>
        </w:rPr>
        <w:t>通过委托外国法查明专业机构和法官</w:t>
      </w:r>
      <w:r w:rsidR="00886C66">
        <w:rPr>
          <w:rFonts w:ascii="仿宋_GB2312" w:eastAsia="仿宋_GB2312" w:hint="eastAsia"/>
          <w:sz w:val="32"/>
          <w:szCs w:val="32"/>
        </w:rPr>
        <w:t>自行</w:t>
      </w:r>
      <w:r w:rsidR="00E342F6">
        <w:rPr>
          <w:rFonts w:ascii="仿宋_GB2312" w:eastAsia="仿宋_GB2312" w:hint="eastAsia"/>
          <w:sz w:val="32"/>
          <w:szCs w:val="32"/>
        </w:rPr>
        <w:t>查询外国司法</w:t>
      </w:r>
      <w:r w:rsidR="00886C66">
        <w:rPr>
          <w:rFonts w:ascii="仿宋_GB2312" w:eastAsia="仿宋_GB2312" w:hint="eastAsia"/>
          <w:sz w:val="32"/>
          <w:szCs w:val="32"/>
        </w:rPr>
        <w:t>部门</w:t>
      </w:r>
      <w:r w:rsidR="00E342F6">
        <w:rPr>
          <w:rFonts w:ascii="仿宋_GB2312" w:eastAsia="仿宋_GB2312" w:hint="eastAsia"/>
          <w:sz w:val="32"/>
          <w:szCs w:val="32"/>
        </w:rPr>
        <w:t>官方网站的方式</w:t>
      </w:r>
      <w:r w:rsidR="00886C66">
        <w:rPr>
          <w:rFonts w:ascii="仿宋_GB2312" w:eastAsia="仿宋_GB2312" w:hint="eastAsia"/>
          <w:sz w:val="32"/>
          <w:szCs w:val="32"/>
        </w:rPr>
        <w:t>，</w:t>
      </w:r>
      <w:r w:rsidR="00E342F6">
        <w:rPr>
          <w:rFonts w:ascii="仿宋_GB2312" w:eastAsia="仿宋_GB2312" w:hint="eastAsia"/>
          <w:sz w:val="32"/>
          <w:szCs w:val="32"/>
        </w:rPr>
        <w:t>分别</w:t>
      </w:r>
      <w:r w:rsidR="00886C66">
        <w:rPr>
          <w:rFonts w:ascii="仿宋_GB2312" w:eastAsia="仿宋_GB2312" w:hint="eastAsia"/>
          <w:sz w:val="32"/>
          <w:szCs w:val="32"/>
        </w:rPr>
        <w:t>对</w:t>
      </w:r>
      <w:r w:rsidR="00E342F6">
        <w:rPr>
          <w:rFonts w:ascii="仿宋_GB2312" w:eastAsia="仿宋_GB2312" w:hint="eastAsia"/>
          <w:sz w:val="32"/>
          <w:szCs w:val="32"/>
        </w:rPr>
        <w:t>新西兰法</w:t>
      </w:r>
      <w:r w:rsidR="00886C66">
        <w:rPr>
          <w:rFonts w:ascii="仿宋_GB2312" w:eastAsia="仿宋_GB2312" w:hint="eastAsia"/>
          <w:sz w:val="32"/>
          <w:szCs w:val="32"/>
        </w:rPr>
        <w:t>和</w:t>
      </w:r>
      <w:r w:rsidR="00E342F6">
        <w:rPr>
          <w:rFonts w:ascii="仿宋_GB2312" w:eastAsia="仿宋_GB2312" w:hint="eastAsia"/>
          <w:sz w:val="32"/>
          <w:szCs w:val="32"/>
        </w:rPr>
        <w:t>德国法</w:t>
      </w:r>
      <w:r w:rsidR="00886C66">
        <w:rPr>
          <w:rFonts w:ascii="仿宋_GB2312" w:eastAsia="仿宋_GB2312" w:hint="eastAsia"/>
          <w:sz w:val="32"/>
          <w:szCs w:val="32"/>
        </w:rPr>
        <w:t>进行查明</w:t>
      </w:r>
      <w:r w:rsidR="00E342F6">
        <w:rPr>
          <w:rFonts w:ascii="仿宋_GB2312" w:eastAsia="仿宋_GB2312" w:hint="eastAsia"/>
          <w:sz w:val="32"/>
          <w:szCs w:val="32"/>
        </w:rPr>
        <w:t>，进而适用域外法判决案件2件。</w:t>
      </w:r>
      <w:r w:rsidR="00671F93">
        <w:rPr>
          <w:rFonts w:ascii="仿宋_GB2312" w:eastAsia="仿宋_GB2312" w:hint="eastAsia"/>
          <w:sz w:val="32"/>
          <w:szCs w:val="32"/>
        </w:rPr>
        <w:t>积极践行条约必须信守、善意履行条约义务的基本原则，在相关案件的裁判中准确适用国际条约和国际惯例。2022年适用《纽约公约》审结1</w:t>
      </w:r>
      <w:r w:rsidR="003F5688">
        <w:rPr>
          <w:rFonts w:ascii="仿宋_GB2312" w:eastAsia="仿宋_GB2312" w:hint="eastAsia"/>
          <w:sz w:val="32"/>
          <w:szCs w:val="32"/>
        </w:rPr>
        <w:t>起申请承认和执行外国仲裁裁决案，</w:t>
      </w:r>
      <w:r w:rsidR="00671F93">
        <w:rPr>
          <w:rFonts w:ascii="仿宋_GB2312" w:eastAsia="仿宋_GB2312" w:hint="eastAsia"/>
          <w:sz w:val="32"/>
          <w:szCs w:val="32"/>
        </w:rPr>
        <w:t>在7起跨境贸易纠纷案中适用《联合国国际货物销售合同公约》。</w:t>
      </w:r>
    </w:p>
    <w:p w:rsidR="004B329B" w:rsidRPr="003E1991" w:rsidRDefault="00671F93" w:rsidP="003E1991">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三、涉外、涉港澳台商事审判工作成效</w:t>
      </w:r>
    </w:p>
    <w:p w:rsidR="0008187A"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1.</w:t>
      </w:r>
      <w:r w:rsidR="0008187A" w:rsidRPr="00BC4A84">
        <w:rPr>
          <w:rFonts w:ascii="楷体" w:eastAsia="楷体" w:hAnsi="楷体" w:cs="华文楷体" w:hint="eastAsia"/>
          <w:bCs/>
          <w:kern w:val="0"/>
          <w:sz w:val="32"/>
          <w:szCs w:val="32"/>
        </w:rPr>
        <w:t>深化精品战略，着力提升涉外商事审判专业化水平</w:t>
      </w:r>
      <w:r w:rsidR="008A23E4">
        <w:rPr>
          <w:rFonts w:ascii="楷体" w:eastAsia="楷体" w:hAnsi="楷体" w:cs="华文楷体" w:hint="eastAsia"/>
          <w:bCs/>
          <w:kern w:val="0"/>
          <w:sz w:val="32"/>
          <w:szCs w:val="32"/>
        </w:rPr>
        <w:t>。</w:t>
      </w:r>
      <w:r w:rsidR="00E242E6">
        <w:rPr>
          <w:rFonts w:ascii="仿宋_GB2312" w:eastAsia="仿宋_GB2312" w:hint="eastAsia"/>
          <w:sz w:val="32"/>
          <w:szCs w:val="32"/>
        </w:rPr>
        <w:t>充分借助由国内一流专家学者组成</w:t>
      </w:r>
      <w:r w:rsidR="0008187A">
        <w:rPr>
          <w:rFonts w:ascii="仿宋_GB2312" w:eastAsia="仿宋_GB2312" w:hint="eastAsia"/>
          <w:sz w:val="32"/>
          <w:szCs w:val="32"/>
        </w:rPr>
        <w:t>的</w:t>
      </w:r>
      <w:r w:rsidR="0008187A" w:rsidRPr="0071228D">
        <w:rPr>
          <w:rFonts w:ascii="仿宋_GB2312" w:eastAsia="仿宋_GB2312" w:hint="eastAsia"/>
          <w:sz w:val="32"/>
          <w:szCs w:val="32"/>
        </w:rPr>
        <w:t>国际商事专家委员会，</w:t>
      </w:r>
      <w:r w:rsidR="00E242E6">
        <w:rPr>
          <w:rFonts w:ascii="仿宋_GB2312" w:eastAsia="仿宋_GB2312" w:hint="eastAsia"/>
          <w:sz w:val="32"/>
          <w:szCs w:val="32"/>
        </w:rPr>
        <w:t>以及</w:t>
      </w:r>
      <w:r w:rsidR="0008187A" w:rsidRPr="0071228D">
        <w:rPr>
          <w:rFonts w:ascii="仿宋_GB2312" w:eastAsia="仿宋_GB2312" w:hint="eastAsia"/>
          <w:sz w:val="32"/>
          <w:szCs w:val="32"/>
        </w:rPr>
        <w:t>与复旦大学、华东政法大学等高校</w:t>
      </w:r>
      <w:r w:rsidR="007207FB">
        <w:rPr>
          <w:rFonts w:ascii="仿宋_GB2312" w:eastAsia="仿宋_GB2312" w:hint="eastAsia"/>
          <w:sz w:val="32"/>
          <w:szCs w:val="32"/>
        </w:rPr>
        <w:t>的合作</w:t>
      </w:r>
      <w:r w:rsidR="0008187A" w:rsidRPr="0071228D">
        <w:rPr>
          <w:rFonts w:ascii="仿宋_GB2312" w:eastAsia="仿宋_GB2312" w:hint="eastAsia"/>
          <w:sz w:val="32"/>
          <w:szCs w:val="32"/>
        </w:rPr>
        <w:t>资源</w:t>
      </w:r>
      <w:r w:rsidR="007207FB">
        <w:rPr>
          <w:rFonts w:ascii="仿宋_GB2312" w:eastAsia="仿宋_GB2312" w:hint="eastAsia"/>
          <w:sz w:val="32"/>
          <w:szCs w:val="32"/>
        </w:rPr>
        <w:t>优势</w:t>
      </w:r>
      <w:r w:rsidR="0008187A" w:rsidRPr="0071228D">
        <w:rPr>
          <w:rFonts w:ascii="仿宋_GB2312" w:eastAsia="仿宋_GB2312" w:hint="eastAsia"/>
          <w:sz w:val="32"/>
          <w:szCs w:val="32"/>
        </w:rPr>
        <w:t>，助力提升涉外商事审判效能。着力打造涉外精品案例，1起案例入选2018-2021年</w:t>
      </w:r>
      <w:r w:rsidR="007207FB">
        <w:rPr>
          <w:rFonts w:ascii="仿宋_GB2312" w:eastAsia="仿宋_GB2312" w:hint="eastAsia"/>
          <w:sz w:val="32"/>
          <w:szCs w:val="32"/>
        </w:rPr>
        <w:t>全省</w:t>
      </w:r>
      <w:r w:rsidR="0008187A" w:rsidRPr="0071228D">
        <w:rPr>
          <w:rFonts w:ascii="仿宋_GB2312" w:eastAsia="仿宋_GB2312" w:hint="eastAsia"/>
          <w:sz w:val="32"/>
          <w:szCs w:val="32"/>
        </w:rPr>
        <w:t>法院涉外、涉港澳台商事十大典型案例，1篇文书获评2022</w:t>
      </w:r>
      <w:r w:rsidR="0008187A" w:rsidRPr="0071228D">
        <w:rPr>
          <w:rFonts w:ascii="仿宋_GB2312" w:eastAsia="仿宋_GB2312" w:hint="eastAsia"/>
          <w:sz w:val="32"/>
          <w:szCs w:val="32"/>
        </w:rPr>
        <w:lastRenderedPageBreak/>
        <w:t>年度全国法院涉外商事海事优秀裁判文书二等奖，</w:t>
      </w:r>
      <w:r w:rsidR="00111198">
        <w:rPr>
          <w:rFonts w:ascii="仿宋_GB2312" w:eastAsia="仿宋_GB2312" w:hint="eastAsia"/>
          <w:sz w:val="32"/>
          <w:szCs w:val="32"/>
        </w:rPr>
        <w:t>并</w:t>
      </w:r>
      <w:r w:rsidR="0008187A" w:rsidRPr="0071228D">
        <w:rPr>
          <w:rFonts w:ascii="仿宋_GB2312" w:eastAsia="仿宋_GB2312" w:hint="eastAsia"/>
          <w:sz w:val="32"/>
          <w:szCs w:val="32"/>
        </w:rPr>
        <w:t>入围2022年度全国法院“百篇优秀裁判文书”</w:t>
      </w:r>
      <w:r w:rsidR="00111198">
        <w:rPr>
          <w:rFonts w:ascii="仿宋_GB2312" w:eastAsia="仿宋_GB2312" w:hint="eastAsia"/>
          <w:sz w:val="32"/>
          <w:szCs w:val="32"/>
        </w:rPr>
        <w:t>评选</w:t>
      </w:r>
      <w:r w:rsidR="0008187A">
        <w:rPr>
          <w:rFonts w:ascii="仿宋_GB2312" w:eastAsia="仿宋_GB2312" w:hint="eastAsia"/>
          <w:sz w:val="32"/>
          <w:szCs w:val="32"/>
        </w:rPr>
        <w:t>。</w:t>
      </w:r>
      <w:r w:rsidR="0008187A" w:rsidRPr="0071228D">
        <w:rPr>
          <w:rFonts w:ascii="仿宋_GB2312" w:eastAsia="仿宋_GB2312" w:hint="eastAsia"/>
          <w:sz w:val="32"/>
          <w:szCs w:val="32"/>
        </w:rPr>
        <w:t>针对涉外审判专业化程度高、更新发展快的特点，每周举办审判实务“微课堂”，通过“专人领学+自由讨论”学习会，强化审判业务实时更新学习；每月邀请涉外领域专家学者和审判业务专家开设“云讲座”，</w:t>
      </w:r>
      <w:r w:rsidR="0008187A" w:rsidRPr="0008187A">
        <w:rPr>
          <w:rFonts w:ascii="仿宋_GB2312" w:eastAsia="仿宋_GB2312" w:hint="eastAsia"/>
          <w:sz w:val="32"/>
          <w:szCs w:val="32"/>
        </w:rPr>
        <w:t>围绕涉外法治建设理论</w:t>
      </w:r>
      <w:r w:rsidR="00111198">
        <w:rPr>
          <w:rFonts w:ascii="仿宋_GB2312" w:eastAsia="仿宋_GB2312" w:hint="eastAsia"/>
          <w:sz w:val="32"/>
          <w:szCs w:val="32"/>
        </w:rPr>
        <w:t>与</w:t>
      </w:r>
      <w:r w:rsidR="0008187A" w:rsidRPr="0008187A">
        <w:rPr>
          <w:rFonts w:ascii="仿宋_GB2312" w:eastAsia="仿宋_GB2312" w:hint="eastAsia"/>
          <w:sz w:val="32"/>
          <w:szCs w:val="32"/>
        </w:rPr>
        <w:t>实践，聚焦涉外商事法律实务中的重点难点问题，通过在线方式</w:t>
      </w:r>
      <w:r w:rsidR="00111198">
        <w:rPr>
          <w:rFonts w:ascii="仿宋_GB2312" w:eastAsia="仿宋_GB2312" w:hint="eastAsia"/>
          <w:sz w:val="32"/>
          <w:szCs w:val="32"/>
        </w:rPr>
        <w:t>进行</w:t>
      </w:r>
      <w:r w:rsidR="0008187A" w:rsidRPr="0008187A">
        <w:rPr>
          <w:rFonts w:ascii="仿宋_GB2312" w:eastAsia="仿宋_GB2312" w:hint="eastAsia"/>
          <w:sz w:val="32"/>
          <w:szCs w:val="32"/>
        </w:rPr>
        <w:t>授课指导，</w:t>
      </w:r>
      <w:r w:rsidR="0008187A" w:rsidRPr="0071228D">
        <w:rPr>
          <w:rFonts w:ascii="仿宋_GB2312" w:eastAsia="仿宋_GB2312" w:hint="eastAsia"/>
          <w:sz w:val="32"/>
          <w:szCs w:val="32"/>
        </w:rPr>
        <w:t>使干警始终保持涉外审判前沿思维。</w:t>
      </w:r>
    </w:p>
    <w:p w:rsidR="002300A1"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2.</w:t>
      </w:r>
      <w:r w:rsidR="0008187A" w:rsidRPr="00BC4A84">
        <w:rPr>
          <w:rFonts w:ascii="楷体" w:eastAsia="楷体" w:hAnsi="楷体" w:cs="华文楷体" w:hint="eastAsia"/>
          <w:bCs/>
          <w:kern w:val="0"/>
          <w:sz w:val="32"/>
          <w:szCs w:val="32"/>
        </w:rPr>
        <w:t>加强</w:t>
      </w:r>
      <w:r w:rsidR="007207FB" w:rsidRPr="00BC4A84">
        <w:rPr>
          <w:rFonts w:ascii="楷体" w:eastAsia="楷体" w:hAnsi="楷体" w:cs="华文楷体" w:hint="eastAsia"/>
          <w:bCs/>
          <w:kern w:val="0"/>
          <w:sz w:val="32"/>
          <w:szCs w:val="32"/>
        </w:rPr>
        <w:t>诉调对接</w:t>
      </w:r>
      <w:r w:rsidR="0008187A" w:rsidRPr="00BC4A84">
        <w:rPr>
          <w:rFonts w:ascii="楷体" w:eastAsia="楷体" w:hAnsi="楷体" w:cs="华文楷体" w:hint="eastAsia"/>
          <w:bCs/>
          <w:kern w:val="0"/>
          <w:sz w:val="32"/>
          <w:szCs w:val="32"/>
        </w:rPr>
        <w:t>，健全完善多元化纠纷解决机制</w:t>
      </w:r>
      <w:r w:rsidR="008A23E4">
        <w:rPr>
          <w:rFonts w:ascii="楷体" w:eastAsia="楷体" w:hAnsi="楷体" w:cs="华文楷体" w:hint="eastAsia"/>
          <w:bCs/>
          <w:kern w:val="0"/>
          <w:sz w:val="32"/>
          <w:szCs w:val="32"/>
        </w:rPr>
        <w:t>。</w:t>
      </w:r>
      <w:r w:rsidR="003B6702">
        <w:rPr>
          <w:rFonts w:ascii="仿宋_GB2312" w:eastAsia="仿宋_GB2312" w:hint="eastAsia"/>
          <w:sz w:val="32"/>
          <w:szCs w:val="32"/>
        </w:rPr>
        <w:t>市中院</w:t>
      </w:r>
      <w:r w:rsidR="0008187A" w:rsidRPr="0008187A">
        <w:rPr>
          <w:rFonts w:ascii="仿宋_GB2312" w:eastAsia="仿宋_GB2312" w:hint="eastAsia"/>
          <w:sz w:val="32"/>
          <w:szCs w:val="32"/>
        </w:rPr>
        <w:t>制定出台</w:t>
      </w:r>
      <w:r w:rsidR="0008187A">
        <w:rPr>
          <w:rFonts w:ascii="仿宋_GB2312" w:eastAsia="仿宋_GB2312" w:hint="eastAsia"/>
          <w:sz w:val="32"/>
          <w:szCs w:val="32"/>
        </w:rPr>
        <w:t>《关于强化涉外商事纠纷一站式多元化解决工作机制的实施意见》，</w:t>
      </w:r>
      <w:r w:rsidR="0008187A" w:rsidRPr="0022661A">
        <w:rPr>
          <w:rFonts w:ascii="仿宋_GB2312" w:eastAsia="仿宋_GB2312" w:hint="eastAsia"/>
          <w:sz w:val="32"/>
          <w:szCs w:val="32"/>
          <w:highlight w:val="yellow"/>
        </w:rPr>
        <w:t>推动</w:t>
      </w:r>
      <w:r w:rsidR="007207FB" w:rsidRPr="0022661A">
        <w:rPr>
          <w:rFonts w:ascii="仿宋_GB2312" w:eastAsia="仿宋_GB2312" w:hint="eastAsia"/>
          <w:sz w:val="32"/>
          <w:szCs w:val="32"/>
          <w:highlight w:val="yellow"/>
        </w:rPr>
        <w:t>成立</w:t>
      </w:r>
      <w:r w:rsidR="0008187A" w:rsidRPr="0022661A">
        <w:rPr>
          <w:rFonts w:ascii="仿宋_GB2312" w:eastAsia="仿宋_GB2312" w:hint="eastAsia"/>
          <w:sz w:val="32"/>
          <w:szCs w:val="32"/>
          <w:highlight w:val="yellow"/>
        </w:rPr>
        <w:t>苏州工业园区星衡平民商事中立评估和调解中心</w:t>
      </w:r>
      <w:bookmarkStart w:id="0" w:name="_GoBack"/>
      <w:bookmarkEnd w:id="0"/>
      <w:r w:rsidR="0008187A" w:rsidRPr="0008187A">
        <w:rPr>
          <w:rFonts w:ascii="仿宋_GB2312" w:eastAsia="仿宋_GB2312" w:hint="eastAsia"/>
          <w:sz w:val="32"/>
          <w:szCs w:val="32"/>
        </w:rPr>
        <w:t>及驻苏州国际商事法庭分中心、驻苏州工业园区人民法院分中心，为涉外商事纠纷非诉化解构建实体化运行载体。与上海经贸商事调解中心、中国国际经济贸易仲裁委员会上海分会等签署合作备忘录，并就涉外商事纠纷诉仲对接建立互助协作机制</w:t>
      </w:r>
      <w:r w:rsidR="002300A1">
        <w:rPr>
          <w:rFonts w:ascii="仿宋_GB2312" w:eastAsia="仿宋_GB2312" w:hint="eastAsia"/>
          <w:sz w:val="32"/>
          <w:szCs w:val="32"/>
        </w:rPr>
        <w:t>，</w:t>
      </w:r>
      <w:r w:rsidR="00111198">
        <w:rPr>
          <w:rFonts w:ascii="仿宋_GB2312" w:eastAsia="仿宋_GB2312" w:hint="eastAsia"/>
          <w:sz w:val="32"/>
          <w:szCs w:val="32"/>
        </w:rPr>
        <w:t>实现非诉解纷</w:t>
      </w:r>
      <w:r w:rsidR="003B6702" w:rsidRPr="0008187A">
        <w:rPr>
          <w:rFonts w:ascii="仿宋_GB2312" w:eastAsia="仿宋_GB2312" w:hint="eastAsia"/>
          <w:sz w:val="32"/>
          <w:szCs w:val="32"/>
        </w:rPr>
        <w:t>全流程</w:t>
      </w:r>
      <w:r w:rsidR="00111198">
        <w:rPr>
          <w:rFonts w:ascii="仿宋_GB2312" w:eastAsia="仿宋_GB2312" w:hint="eastAsia"/>
          <w:sz w:val="32"/>
          <w:szCs w:val="32"/>
        </w:rPr>
        <w:t>覆盖</w:t>
      </w:r>
      <w:r w:rsidR="00111198" w:rsidRPr="0008187A">
        <w:rPr>
          <w:rFonts w:ascii="仿宋_GB2312" w:eastAsia="仿宋_GB2312" w:hint="eastAsia"/>
          <w:sz w:val="32"/>
          <w:szCs w:val="32"/>
        </w:rPr>
        <w:t>，</w:t>
      </w:r>
      <w:r w:rsidR="003B6702">
        <w:rPr>
          <w:rFonts w:ascii="仿宋_GB2312" w:eastAsia="仿宋_GB2312" w:hint="eastAsia"/>
          <w:sz w:val="32"/>
          <w:szCs w:val="32"/>
        </w:rPr>
        <w:t>充分</w:t>
      </w:r>
      <w:r w:rsidR="002300A1" w:rsidRPr="0008187A">
        <w:rPr>
          <w:rFonts w:ascii="仿宋_GB2312" w:eastAsia="仿宋_GB2312" w:hint="eastAsia"/>
          <w:sz w:val="32"/>
          <w:szCs w:val="32"/>
        </w:rPr>
        <w:t>满足各类涉外市场主体的多元司法需求</w:t>
      </w:r>
      <w:r w:rsidR="0008187A" w:rsidRPr="0008187A">
        <w:rPr>
          <w:rFonts w:ascii="仿宋_GB2312" w:eastAsia="仿宋_GB2312" w:hint="eastAsia"/>
          <w:sz w:val="32"/>
          <w:szCs w:val="32"/>
        </w:rPr>
        <w:t>。</w:t>
      </w:r>
      <w:r w:rsidR="007207FB">
        <w:rPr>
          <w:rFonts w:ascii="仿宋_GB2312" w:eastAsia="仿宋_GB2312" w:hint="eastAsia"/>
          <w:sz w:val="32"/>
          <w:szCs w:val="32"/>
        </w:rPr>
        <w:t>苏州法院</w:t>
      </w:r>
      <w:r w:rsidR="002300A1" w:rsidRPr="0008187A">
        <w:rPr>
          <w:rFonts w:ascii="仿宋_GB2312" w:eastAsia="仿宋_GB2312" w:hint="eastAsia"/>
          <w:sz w:val="32"/>
          <w:szCs w:val="32"/>
        </w:rPr>
        <w:t>涉外商事多元化纠纷解决新模式</w:t>
      </w:r>
      <w:r w:rsidR="007207FB">
        <w:rPr>
          <w:rFonts w:ascii="仿宋_GB2312" w:eastAsia="仿宋_GB2312" w:hint="eastAsia"/>
          <w:sz w:val="32"/>
          <w:szCs w:val="32"/>
        </w:rPr>
        <w:t>，</w:t>
      </w:r>
      <w:r w:rsidR="0008187A" w:rsidRPr="0008187A">
        <w:rPr>
          <w:rFonts w:ascii="仿宋_GB2312" w:eastAsia="仿宋_GB2312" w:hint="eastAsia"/>
          <w:sz w:val="32"/>
          <w:szCs w:val="32"/>
        </w:rPr>
        <w:t>入选</w:t>
      </w:r>
      <w:r w:rsidR="0008187A">
        <w:rPr>
          <w:rFonts w:ascii="仿宋_GB2312" w:eastAsia="仿宋_GB2312" w:hint="eastAsia"/>
          <w:sz w:val="32"/>
          <w:szCs w:val="32"/>
        </w:rPr>
        <w:t>最高人民法院发布的</w:t>
      </w:r>
      <w:r w:rsidR="0008187A" w:rsidRPr="0008187A">
        <w:rPr>
          <w:rFonts w:ascii="仿宋_GB2312" w:eastAsia="仿宋_GB2312" w:hint="eastAsia"/>
          <w:sz w:val="32"/>
          <w:szCs w:val="32"/>
        </w:rPr>
        <w:t>“人民法院服务保障自由贸易试验区建设亮点举措”</w:t>
      </w:r>
      <w:r w:rsidR="003B6702">
        <w:rPr>
          <w:rFonts w:ascii="仿宋_GB2312" w:eastAsia="仿宋_GB2312" w:hint="eastAsia"/>
          <w:sz w:val="32"/>
          <w:szCs w:val="32"/>
        </w:rPr>
        <w:t>，</w:t>
      </w:r>
      <w:r w:rsidR="0008187A">
        <w:rPr>
          <w:rFonts w:ascii="仿宋_GB2312" w:eastAsia="仿宋_GB2312" w:hint="eastAsia"/>
          <w:sz w:val="32"/>
          <w:szCs w:val="32"/>
        </w:rPr>
        <w:t>获评苏州市市域治理创新案例二等奖</w:t>
      </w:r>
      <w:r w:rsidR="003B6702">
        <w:rPr>
          <w:rFonts w:ascii="仿宋_GB2312" w:eastAsia="仿宋_GB2312" w:hint="eastAsia"/>
          <w:sz w:val="32"/>
          <w:szCs w:val="32"/>
        </w:rPr>
        <w:t>，并</w:t>
      </w:r>
      <w:r w:rsidR="0008187A">
        <w:rPr>
          <w:rFonts w:ascii="仿宋_GB2312" w:eastAsia="仿宋_GB2312" w:hint="eastAsia"/>
          <w:sz w:val="32"/>
          <w:szCs w:val="32"/>
        </w:rPr>
        <w:t>入选苏州自贸片区2022年度制度创新十佳案例。</w:t>
      </w:r>
      <w:r w:rsidR="007207FB">
        <w:rPr>
          <w:rFonts w:ascii="仿宋_GB2312" w:eastAsia="仿宋_GB2312" w:hint="eastAsia"/>
          <w:sz w:val="32"/>
          <w:szCs w:val="32"/>
        </w:rPr>
        <w:t>与此同时，市中院着力</w:t>
      </w:r>
      <w:r w:rsidR="002300A1" w:rsidRPr="002300A1">
        <w:rPr>
          <w:rFonts w:ascii="仿宋_GB2312" w:eastAsia="仿宋_GB2312" w:hint="eastAsia"/>
          <w:sz w:val="32"/>
          <w:szCs w:val="32"/>
        </w:rPr>
        <w:t>加强与基层人民法院</w:t>
      </w:r>
      <w:r w:rsidR="007207FB">
        <w:rPr>
          <w:rFonts w:ascii="仿宋_GB2312" w:eastAsia="仿宋_GB2312" w:hint="eastAsia"/>
          <w:sz w:val="32"/>
          <w:szCs w:val="32"/>
        </w:rPr>
        <w:t>在</w:t>
      </w:r>
      <w:r w:rsidR="002300A1" w:rsidRPr="002300A1">
        <w:rPr>
          <w:rFonts w:ascii="仿宋_GB2312" w:eastAsia="仿宋_GB2312" w:hint="eastAsia"/>
          <w:sz w:val="32"/>
          <w:szCs w:val="32"/>
        </w:rPr>
        <w:t>涉台商事纠纷化解</w:t>
      </w:r>
      <w:r w:rsidR="007207FB">
        <w:rPr>
          <w:rFonts w:ascii="仿宋_GB2312" w:eastAsia="仿宋_GB2312" w:hint="eastAsia"/>
          <w:sz w:val="32"/>
          <w:szCs w:val="32"/>
        </w:rPr>
        <w:t>方面</w:t>
      </w:r>
      <w:r w:rsidR="002300A1" w:rsidRPr="002300A1">
        <w:rPr>
          <w:rFonts w:ascii="仿宋_GB2312" w:eastAsia="仿宋_GB2312" w:hint="eastAsia"/>
          <w:sz w:val="32"/>
          <w:szCs w:val="32"/>
        </w:rPr>
        <w:t>的沟通联动</w:t>
      </w:r>
      <w:r w:rsidR="007207FB">
        <w:rPr>
          <w:rFonts w:ascii="仿宋_GB2312" w:eastAsia="仿宋_GB2312" w:hint="eastAsia"/>
          <w:sz w:val="32"/>
          <w:szCs w:val="32"/>
        </w:rPr>
        <w:t>，指导</w:t>
      </w:r>
      <w:r w:rsidR="002300A1" w:rsidRPr="002300A1">
        <w:rPr>
          <w:rFonts w:ascii="仿宋_GB2312" w:eastAsia="仿宋_GB2312" w:hint="eastAsia"/>
          <w:sz w:val="32"/>
          <w:szCs w:val="32"/>
        </w:rPr>
        <w:t>昆山市人民法院开展涉台纠纷诉前委托和诉中委派调解工作。特邀调解员成功调解</w:t>
      </w:r>
      <w:r w:rsidR="002300A1" w:rsidRPr="002300A1">
        <w:rPr>
          <w:rFonts w:ascii="仿宋_GB2312" w:eastAsia="仿宋_GB2312" w:hint="eastAsia"/>
          <w:sz w:val="32"/>
          <w:szCs w:val="32"/>
        </w:rPr>
        <w:lastRenderedPageBreak/>
        <w:t>后，根据涉台案件司法管辖的相关规定，当事人</w:t>
      </w:r>
      <w:r w:rsidR="003B6702">
        <w:rPr>
          <w:rFonts w:ascii="仿宋_GB2312" w:eastAsia="仿宋_GB2312" w:hint="eastAsia"/>
          <w:sz w:val="32"/>
          <w:szCs w:val="32"/>
        </w:rPr>
        <w:t>可</w:t>
      </w:r>
      <w:r w:rsidR="002300A1" w:rsidRPr="002300A1">
        <w:rPr>
          <w:rFonts w:ascii="仿宋_GB2312" w:eastAsia="仿宋_GB2312" w:hint="eastAsia"/>
          <w:sz w:val="32"/>
          <w:szCs w:val="32"/>
        </w:rPr>
        <w:t>直接向</w:t>
      </w:r>
      <w:r w:rsidR="007207FB">
        <w:rPr>
          <w:rFonts w:ascii="仿宋_GB2312" w:eastAsia="仿宋_GB2312" w:hint="eastAsia"/>
          <w:sz w:val="32"/>
          <w:szCs w:val="32"/>
        </w:rPr>
        <w:t>市</w:t>
      </w:r>
      <w:r w:rsidR="002300A1" w:rsidRPr="002300A1">
        <w:rPr>
          <w:rFonts w:ascii="仿宋_GB2312" w:eastAsia="仿宋_GB2312" w:hint="eastAsia"/>
          <w:sz w:val="32"/>
          <w:szCs w:val="32"/>
        </w:rPr>
        <w:t>中院在线申请司法确认，在降低涉台商事案件当事人纠纷</w:t>
      </w:r>
      <w:r w:rsidR="003B6702">
        <w:rPr>
          <w:rFonts w:ascii="仿宋_GB2312" w:eastAsia="仿宋_GB2312" w:hint="eastAsia"/>
          <w:sz w:val="32"/>
          <w:szCs w:val="32"/>
        </w:rPr>
        <w:t>解决</w:t>
      </w:r>
      <w:r w:rsidR="002300A1" w:rsidRPr="002300A1">
        <w:rPr>
          <w:rFonts w:ascii="仿宋_GB2312" w:eastAsia="仿宋_GB2312" w:hint="eastAsia"/>
          <w:sz w:val="32"/>
          <w:szCs w:val="32"/>
        </w:rPr>
        <w:t>成本的同时，切实提高了涉台</w:t>
      </w:r>
      <w:r w:rsidR="002300A1">
        <w:rPr>
          <w:rFonts w:ascii="仿宋_GB2312" w:eastAsia="仿宋_GB2312" w:hint="eastAsia"/>
          <w:sz w:val="32"/>
          <w:szCs w:val="32"/>
        </w:rPr>
        <w:t>商事纠纷案件</w:t>
      </w:r>
      <w:r w:rsidR="007E4EA9">
        <w:rPr>
          <w:rFonts w:ascii="仿宋_GB2312" w:eastAsia="仿宋_GB2312" w:hint="eastAsia"/>
          <w:sz w:val="32"/>
          <w:szCs w:val="32"/>
        </w:rPr>
        <w:t>的办理</w:t>
      </w:r>
      <w:r w:rsidR="002300A1" w:rsidRPr="002300A1">
        <w:rPr>
          <w:rFonts w:ascii="仿宋_GB2312" w:eastAsia="仿宋_GB2312" w:hint="eastAsia"/>
          <w:sz w:val="32"/>
          <w:szCs w:val="32"/>
        </w:rPr>
        <w:t>质效。</w:t>
      </w:r>
    </w:p>
    <w:p w:rsidR="002300A1"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3.</w:t>
      </w:r>
      <w:r w:rsidR="00A12030" w:rsidRPr="00BC4A84">
        <w:rPr>
          <w:rFonts w:ascii="楷体" w:eastAsia="楷体" w:hAnsi="楷体" w:cs="华文楷体" w:hint="eastAsia"/>
          <w:bCs/>
          <w:kern w:val="0"/>
          <w:sz w:val="32"/>
          <w:szCs w:val="32"/>
        </w:rPr>
        <w:t>强化职能联动，积极构建多方合作共建、资源共享工作格局</w:t>
      </w:r>
      <w:r w:rsidR="008A23E4">
        <w:rPr>
          <w:rFonts w:ascii="楷体" w:eastAsia="楷体" w:hAnsi="楷体" w:cs="华文楷体" w:hint="eastAsia"/>
          <w:bCs/>
          <w:kern w:val="0"/>
          <w:sz w:val="32"/>
          <w:szCs w:val="32"/>
        </w:rPr>
        <w:t>。</w:t>
      </w:r>
      <w:r w:rsidR="00A12030" w:rsidRPr="00A12030">
        <w:rPr>
          <w:rFonts w:ascii="仿宋_GB2312" w:eastAsia="仿宋_GB2312" w:hint="eastAsia"/>
          <w:sz w:val="32"/>
          <w:szCs w:val="32"/>
        </w:rPr>
        <w:t>紧扣</w:t>
      </w:r>
      <w:r w:rsidR="007207FB">
        <w:rPr>
          <w:rFonts w:ascii="仿宋_GB2312" w:eastAsia="仿宋_GB2312" w:hint="eastAsia"/>
          <w:sz w:val="32"/>
          <w:szCs w:val="32"/>
        </w:rPr>
        <w:t>审判工作</w:t>
      </w:r>
      <w:r w:rsidR="00A12030" w:rsidRPr="00A12030">
        <w:rPr>
          <w:rFonts w:ascii="仿宋_GB2312" w:eastAsia="仿宋_GB2312" w:hint="eastAsia"/>
          <w:sz w:val="32"/>
          <w:szCs w:val="32"/>
        </w:rPr>
        <w:t>需求，加强与市商务局、国家外汇管理局苏州中心支局、</w:t>
      </w:r>
      <w:r w:rsidR="00A12030">
        <w:rPr>
          <w:rFonts w:ascii="仿宋_GB2312" w:eastAsia="仿宋_GB2312" w:hint="eastAsia"/>
          <w:sz w:val="32"/>
          <w:szCs w:val="32"/>
        </w:rPr>
        <w:t>市司法局</w:t>
      </w:r>
      <w:r w:rsidR="00A12030" w:rsidRPr="00A12030">
        <w:rPr>
          <w:rFonts w:ascii="仿宋_GB2312" w:eastAsia="仿宋_GB2312" w:hint="eastAsia"/>
          <w:sz w:val="32"/>
          <w:szCs w:val="32"/>
        </w:rPr>
        <w:t>等部门的职能协同，凝聚合力、优势互补，打造多维度业务协同伙伴关系，形成一系列务实、长效的共建机制，在涉外商事纠纷公、私法融合处理方面进行有益探索。根据最高人民法院安排，参加牛津大学中国中心主办的“全球背景下的商事法院”国际研讨会、澳大利亚最高法院主办的商事法院常设国际论坛第四届研讨会，并作主题发言。通过参加上述高规格的学术研讨活动，有力地促进了涉外商事审判水平的提升。</w:t>
      </w:r>
    </w:p>
    <w:p w:rsidR="00A12030"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4.</w:t>
      </w:r>
      <w:r w:rsidR="00A12030" w:rsidRPr="00BC4A84">
        <w:rPr>
          <w:rFonts w:ascii="楷体" w:eastAsia="楷体" w:hAnsi="楷体" w:cs="华文楷体" w:hint="eastAsia"/>
          <w:bCs/>
          <w:kern w:val="0"/>
          <w:sz w:val="32"/>
          <w:szCs w:val="32"/>
        </w:rPr>
        <w:t>推进智慧审判，不断探索涉外商事在线诉讼新机制</w:t>
      </w:r>
      <w:r w:rsidR="008A23E4">
        <w:rPr>
          <w:rFonts w:ascii="楷体" w:eastAsia="楷体" w:hAnsi="楷体" w:cs="华文楷体" w:hint="eastAsia"/>
          <w:bCs/>
          <w:kern w:val="0"/>
          <w:sz w:val="32"/>
          <w:szCs w:val="32"/>
        </w:rPr>
        <w:t>。</w:t>
      </w:r>
      <w:r w:rsidR="00A12030" w:rsidRPr="00A12030">
        <w:rPr>
          <w:rFonts w:ascii="仿宋_GB2312" w:eastAsia="仿宋_GB2312" w:hint="eastAsia"/>
          <w:sz w:val="32"/>
          <w:szCs w:val="32"/>
        </w:rPr>
        <w:t>积极推动涉外商事审判与智慧法院建设深度融合，</w:t>
      </w:r>
      <w:r w:rsidR="00A12030">
        <w:rPr>
          <w:rFonts w:ascii="仿宋_GB2312" w:eastAsia="仿宋_GB2312" w:hint="eastAsia"/>
          <w:sz w:val="32"/>
          <w:szCs w:val="32"/>
        </w:rPr>
        <w:t>进一步完善涉外商事案件跨境诉讼当事人网上立案、授权委托视频见证流程，在18起涉外商事案件中为身处世界各地的外籍当事人提供身份在线验证、委托代理视频见证等服务。</w:t>
      </w:r>
      <w:r w:rsidR="00A12030" w:rsidRPr="00A12030">
        <w:rPr>
          <w:rFonts w:ascii="仿宋_GB2312" w:eastAsia="仿宋_GB2312" w:hint="eastAsia"/>
          <w:sz w:val="32"/>
          <w:szCs w:val="32"/>
        </w:rPr>
        <w:t>在涉外商事案件审理中</w:t>
      </w:r>
      <w:r w:rsidR="007207FB">
        <w:rPr>
          <w:rFonts w:ascii="仿宋_GB2312" w:eastAsia="仿宋_GB2312" w:hint="eastAsia"/>
          <w:sz w:val="32"/>
          <w:szCs w:val="32"/>
        </w:rPr>
        <w:t>，</w:t>
      </w:r>
      <w:r w:rsidR="00D10516">
        <w:rPr>
          <w:rFonts w:ascii="仿宋_GB2312" w:eastAsia="仿宋_GB2312" w:hint="eastAsia"/>
          <w:sz w:val="32"/>
          <w:szCs w:val="32"/>
        </w:rPr>
        <w:t>充分运用</w:t>
      </w:r>
      <w:r w:rsidR="00A12030">
        <w:rPr>
          <w:rFonts w:ascii="仿宋_GB2312" w:eastAsia="仿宋_GB2312" w:hint="eastAsia"/>
          <w:sz w:val="32"/>
          <w:szCs w:val="32"/>
        </w:rPr>
        <w:t>异步审理平台，引导涉外诉讼参与人在线提交证据、发表举证质证意见，</w:t>
      </w:r>
      <w:r w:rsidR="00A12030" w:rsidRPr="00A12030">
        <w:rPr>
          <w:rFonts w:ascii="仿宋_GB2312" w:eastAsia="仿宋_GB2312" w:hint="eastAsia"/>
          <w:sz w:val="32"/>
          <w:szCs w:val="32"/>
        </w:rPr>
        <w:t>切实提升涉外纠纷解决质效。</w:t>
      </w:r>
      <w:r w:rsidR="007E4EA9" w:rsidRPr="00A12030">
        <w:rPr>
          <w:rFonts w:ascii="仿宋_GB2312" w:eastAsia="仿宋_GB2312" w:hint="eastAsia"/>
          <w:sz w:val="32"/>
          <w:szCs w:val="32"/>
        </w:rPr>
        <w:t>开展涉外在线诉讼、开庭、调解等问题专题调研，</w:t>
      </w:r>
      <w:r w:rsidR="007E4EA9">
        <w:rPr>
          <w:rFonts w:ascii="仿宋_GB2312" w:eastAsia="仿宋_GB2312" w:hint="eastAsia"/>
          <w:sz w:val="32"/>
          <w:szCs w:val="32"/>
        </w:rPr>
        <w:t>积极探索互联网司法的跨境适用</w:t>
      </w:r>
      <w:r w:rsidR="007E4EA9" w:rsidRPr="00A12030">
        <w:rPr>
          <w:rFonts w:ascii="仿宋_GB2312" w:eastAsia="仿宋_GB2312" w:hint="eastAsia"/>
          <w:sz w:val="32"/>
          <w:szCs w:val="32"/>
        </w:rPr>
        <w:t>。</w:t>
      </w:r>
      <w:r w:rsidR="00A12030">
        <w:rPr>
          <w:rFonts w:ascii="仿宋_GB2312" w:eastAsia="仿宋_GB2312" w:hint="eastAsia"/>
          <w:sz w:val="32"/>
          <w:szCs w:val="32"/>
        </w:rPr>
        <w:t>“跨境在线诉讼探索适用”入选苏州法院“司法护航数字苏州建设十</w:t>
      </w:r>
      <w:r w:rsidR="00A12030">
        <w:rPr>
          <w:rFonts w:ascii="仿宋_GB2312" w:eastAsia="仿宋_GB2312" w:hint="eastAsia"/>
          <w:sz w:val="32"/>
          <w:szCs w:val="32"/>
        </w:rPr>
        <w:lastRenderedPageBreak/>
        <w:t>项重点举措”。</w:t>
      </w:r>
    </w:p>
    <w:p w:rsidR="00980864"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5.</w:t>
      </w:r>
      <w:r w:rsidR="003B6702" w:rsidRPr="00BC4A84">
        <w:rPr>
          <w:rFonts w:ascii="楷体" w:eastAsia="楷体" w:hAnsi="楷体" w:cs="华文楷体" w:hint="eastAsia"/>
          <w:bCs/>
          <w:kern w:val="0"/>
          <w:sz w:val="32"/>
          <w:szCs w:val="32"/>
        </w:rPr>
        <w:t>延伸审判职能</w:t>
      </w:r>
      <w:r w:rsidR="00A12030" w:rsidRPr="00BC4A84">
        <w:rPr>
          <w:rFonts w:ascii="楷体" w:eastAsia="楷体" w:hAnsi="楷体" w:cs="华文楷体" w:hint="eastAsia"/>
          <w:bCs/>
          <w:kern w:val="0"/>
          <w:sz w:val="32"/>
          <w:szCs w:val="32"/>
        </w:rPr>
        <w:t>，有效促进高水平对外开放</w:t>
      </w:r>
      <w:r w:rsidR="008A23E4">
        <w:rPr>
          <w:rFonts w:ascii="楷体" w:eastAsia="楷体" w:hAnsi="楷体" w:cs="华文楷体" w:hint="eastAsia"/>
          <w:bCs/>
          <w:kern w:val="0"/>
          <w:sz w:val="32"/>
          <w:szCs w:val="32"/>
        </w:rPr>
        <w:t>。</w:t>
      </w:r>
      <w:r w:rsidR="00A12030" w:rsidRPr="00A12030">
        <w:rPr>
          <w:rFonts w:ascii="仿宋_GB2312" w:eastAsia="仿宋_GB2312" w:hint="eastAsia"/>
          <w:sz w:val="32"/>
          <w:szCs w:val="32"/>
        </w:rPr>
        <w:t>制定出台《关于发挥审判职能作用 服务保障&lt;区域全面经济伙伴关系协定&gt;（RCEP</w:t>
      </w:r>
      <w:r w:rsidR="007E4EA9">
        <w:rPr>
          <w:rFonts w:ascii="仿宋_GB2312" w:eastAsia="仿宋_GB2312" w:hint="eastAsia"/>
          <w:sz w:val="32"/>
          <w:szCs w:val="32"/>
        </w:rPr>
        <w:t>）高质量实施的工作意见》，</w:t>
      </w:r>
      <w:r w:rsidR="00A12030" w:rsidRPr="00A12030">
        <w:rPr>
          <w:rFonts w:ascii="仿宋_GB2312" w:eastAsia="仿宋_GB2312" w:hint="eastAsia"/>
          <w:sz w:val="32"/>
          <w:szCs w:val="32"/>
        </w:rPr>
        <w:t>通报涉RCEP成员国商事案件审理情况，发布典型案例，</w:t>
      </w:r>
      <w:r w:rsidR="00980864" w:rsidRPr="00980864">
        <w:rPr>
          <w:rFonts w:ascii="仿宋_GB2312" w:eastAsia="仿宋_GB2312" w:hint="eastAsia"/>
          <w:sz w:val="32"/>
          <w:szCs w:val="32"/>
        </w:rPr>
        <w:t>充分发挥人民法院在服务保障RCEP实施中的重要</w:t>
      </w:r>
      <w:r w:rsidR="00980864">
        <w:rPr>
          <w:rFonts w:ascii="仿宋_GB2312" w:eastAsia="仿宋_GB2312" w:hint="eastAsia"/>
          <w:sz w:val="32"/>
          <w:szCs w:val="32"/>
        </w:rPr>
        <w:t>作用</w:t>
      </w:r>
      <w:r w:rsidR="00A12030" w:rsidRPr="00A12030">
        <w:rPr>
          <w:rFonts w:ascii="仿宋_GB2312" w:eastAsia="仿宋_GB2312" w:hint="eastAsia"/>
          <w:sz w:val="32"/>
          <w:szCs w:val="32"/>
        </w:rPr>
        <w:t>。</w:t>
      </w:r>
      <w:r w:rsidR="00980864">
        <w:rPr>
          <w:rFonts w:ascii="仿宋_GB2312" w:eastAsia="仿宋_GB2312" w:hint="eastAsia"/>
          <w:sz w:val="32"/>
          <w:szCs w:val="32"/>
        </w:rPr>
        <w:t>成立</w:t>
      </w:r>
      <w:r w:rsidR="003B6702" w:rsidRPr="003B6702">
        <w:rPr>
          <w:rFonts w:ascii="仿宋_GB2312" w:eastAsia="仿宋_GB2312" w:hint="eastAsia"/>
          <w:sz w:val="32"/>
          <w:szCs w:val="32"/>
        </w:rPr>
        <w:t>苏州工业园区人民法院自由贸易区法庭</w:t>
      </w:r>
      <w:r w:rsidR="00980864" w:rsidRPr="00A12030">
        <w:rPr>
          <w:rFonts w:ascii="仿宋_GB2312" w:eastAsia="仿宋_GB2312" w:hint="eastAsia"/>
          <w:sz w:val="32"/>
          <w:szCs w:val="32"/>
        </w:rPr>
        <w:t>，</w:t>
      </w:r>
      <w:r w:rsidR="00980864">
        <w:rPr>
          <w:rFonts w:ascii="仿宋_GB2312" w:eastAsia="仿宋_GB2312" w:hint="eastAsia"/>
          <w:sz w:val="32"/>
          <w:szCs w:val="32"/>
        </w:rPr>
        <w:t>集中</w:t>
      </w:r>
      <w:r w:rsidR="00980864" w:rsidRPr="00A12030">
        <w:rPr>
          <w:rFonts w:ascii="仿宋_GB2312" w:eastAsia="仿宋_GB2312" w:hint="eastAsia"/>
          <w:sz w:val="32"/>
          <w:szCs w:val="32"/>
        </w:rPr>
        <w:t>审理由苏州工业园区管辖的涉外商事案件，</w:t>
      </w:r>
      <w:r w:rsidR="00980864">
        <w:rPr>
          <w:rFonts w:ascii="仿宋_GB2312" w:eastAsia="仿宋_GB2312" w:hint="eastAsia"/>
          <w:sz w:val="32"/>
          <w:szCs w:val="32"/>
        </w:rPr>
        <w:t>并发布</w:t>
      </w:r>
      <w:r w:rsidR="00980864" w:rsidRPr="00A12030">
        <w:rPr>
          <w:rFonts w:ascii="仿宋_GB2312" w:eastAsia="仿宋_GB2312" w:hint="eastAsia"/>
          <w:sz w:val="32"/>
          <w:szCs w:val="32"/>
        </w:rPr>
        <w:t>《服务保障自贸区高质量发展白皮书（2019-2022）》</w:t>
      </w:r>
      <w:r w:rsidR="00980864">
        <w:rPr>
          <w:rFonts w:ascii="仿宋_GB2312" w:eastAsia="仿宋_GB2312" w:hint="eastAsia"/>
          <w:sz w:val="32"/>
          <w:szCs w:val="32"/>
        </w:rPr>
        <w:t>及</w:t>
      </w:r>
      <w:r w:rsidR="00980864" w:rsidRPr="00A12030">
        <w:rPr>
          <w:rFonts w:ascii="仿宋_GB2312" w:eastAsia="仿宋_GB2312" w:hint="eastAsia"/>
          <w:sz w:val="32"/>
          <w:szCs w:val="32"/>
        </w:rPr>
        <w:t>典型案例。依托</w:t>
      </w:r>
      <w:r w:rsidR="003B6702">
        <w:rPr>
          <w:rFonts w:ascii="仿宋_GB2312" w:eastAsia="仿宋_GB2312" w:hint="eastAsia"/>
          <w:sz w:val="32"/>
          <w:szCs w:val="32"/>
        </w:rPr>
        <w:t>市</w:t>
      </w:r>
      <w:r w:rsidR="00980864" w:rsidRPr="00A12030">
        <w:rPr>
          <w:rFonts w:ascii="仿宋_GB2312" w:eastAsia="仿宋_GB2312" w:hint="eastAsia"/>
          <w:sz w:val="32"/>
          <w:szCs w:val="32"/>
        </w:rPr>
        <w:t>中院建立的“四庭协同”工作机制，</w:t>
      </w:r>
      <w:r w:rsidR="00980864">
        <w:rPr>
          <w:rFonts w:ascii="仿宋_GB2312" w:eastAsia="仿宋_GB2312" w:hint="eastAsia"/>
          <w:sz w:val="32"/>
          <w:szCs w:val="32"/>
        </w:rPr>
        <w:t>苏州国际商事</w:t>
      </w:r>
      <w:r w:rsidR="00980864" w:rsidRPr="00A12030">
        <w:rPr>
          <w:rFonts w:ascii="仿宋_GB2312" w:eastAsia="仿宋_GB2312" w:hint="eastAsia"/>
          <w:sz w:val="32"/>
          <w:szCs w:val="32"/>
        </w:rPr>
        <w:t>法庭加强与苏州知识产权法庭、苏州破产法庭、苏州劳动法庭以及基层人民法院的协同联动，参加苏州自贸片区举办的多期“自贸会客厅 跨境月月谈”活动，协同太仓市人民法院开展“对德合作”服务德企专项工作，分别在江苏（苏州）国际铁路物流中心、苏州跨境电子商务协会设立司法服务工作室，广泛听取意见建议，在</w:t>
      </w:r>
      <w:r w:rsidR="005A1462" w:rsidRPr="005A1462">
        <w:rPr>
          <w:rFonts w:ascii="仿宋_GB2312" w:eastAsia="仿宋_GB2312" w:hint="eastAsia"/>
          <w:sz w:val="32"/>
          <w:szCs w:val="32"/>
        </w:rPr>
        <w:t>对外投资、对外贸易</w:t>
      </w:r>
      <w:r w:rsidR="00980864" w:rsidRPr="00A12030">
        <w:rPr>
          <w:rFonts w:ascii="仿宋_GB2312" w:eastAsia="仿宋_GB2312" w:hint="eastAsia"/>
          <w:sz w:val="32"/>
          <w:szCs w:val="32"/>
        </w:rPr>
        <w:t>等方面开展合规指导，</w:t>
      </w:r>
      <w:r w:rsidR="003B6702">
        <w:rPr>
          <w:rFonts w:ascii="仿宋_GB2312" w:eastAsia="仿宋_GB2312" w:hint="eastAsia"/>
          <w:sz w:val="32"/>
          <w:szCs w:val="32"/>
        </w:rPr>
        <w:t>积极回应</w:t>
      </w:r>
      <w:r w:rsidR="00980864" w:rsidRPr="00A12030">
        <w:rPr>
          <w:rFonts w:ascii="仿宋_GB2312" w:eastAsia="仿宋_GB2312" w:hint="eastAsia"/>
          <w:sz w:val="32"/>
          <w:szCs w:val="32"/>
        </w:rPr>
        <w:t>中外市场主体对国际经贸商事纠纷解决的司法需求。</w:t>
      </w:r>
    </w:p>
    <w:p w:rsidR="004B329B" w:rsidRDefault="00671F93" w:rsidP="003E1991">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四、涉外、涉港澳台商事审判工作展望</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1.</w:t>
      </w:r>
      <w:r w:rsidR="00671F93" w:rsidRPr="00BC4A84">
        <w:rPr>
          <w:rFonts w:ascii="楷体" w:eastAsia="楷体" w:hAnsi="楷体" w:cs="华文楷体" w:hint="eastAsia"/>
          <w:bCs/>
          <w:kern w:val="0"/>
          <w:sz w:val="32"/>
          <w:szCs w:val="32"/>
        </w:rPr>
        <w:t>以政治建设为统领，强化涉外司法职责使命担当</w:t>
      </w:r>
      <w:r w:rsidR="008A23E4">
        <w:rPr>
          <w:rFonts w:ascii="楷体" w:eastAsia="楷体" w:hAnsi="楷体" w:cs="华文楷体" w:hint="eastAsia"/>
          <w:bCs/>
          <w:kern w:val="0"/>
          <w:sz w:val="32"/>
          <w:szCs w:val="32"/>
        </w:rPr>
        <w:t>。</w:t>
      </w:r>
      <w:r w:rsidR="00671F93">
        <w:rPr>
          <w:rFonts w:ascii="仿宋_GB2312" w:eastAsia="仿宋_GB2312" w:hint="eastAsia"/>
          <w:sz w:val="32"/>
          <w:szCs w:val="32"/>
        </w:rPr>
        <w:t>坚持以党的二十大精神</w:t>
      </w:r>
      <w:r w:rsidR="005A1462">
        <w:rPr>
          <w:rFonts w:ascii="仿宋_GB2312" w:eastAsia="仿宋_GB2312" w:hint="eastAsia"/>
          <w:sz w:val="32"/>
          <w:szCs w:val="32"/>
        </w:rPr>
        <w:t>为指引</w:t>
      </w:r>
      <w:r w:rsidR="00671F93">
        <w:rPr>
          <w:rFonts w:ascii="仿宋_GB2312" w:eastAsia="仿宋_GB2312" w:hint="eastAsia"/>
          <w:sz w:val="32"/>
          <w:szCs w:val="32"/>
        </w:rPr>
        <w:t>，</w:t>
      </w:r>
      <w:r w:rsidR="005A1462">
        <w:rPr>
          <w:rFonts w:ascii="仿宋_GB2312" w:eastAsia="仿宋_GB2312" w:hint="eastAsia"/>
          <w:sz w:val="32"/>
          <w:szCs w:val="32"/>
        </w:rPr>
        <w:t>深入学习</w:t>
      </w:r>
      <w:r w:rsidR="00671F93">
        <w:rPr>
          <w:rFonts w:ascii="仿宋_GB2312" w:eastAsia="仿宋_GB2312" w:hint="eastAsia"/>
          <w:sz w:val="32"/>
          <w:szCs w:val="32"/>
        </w:rPr>
        <w:t>贯彻习近平总书记对政法工作的重要指示精神，</w:t>
      </w:r>
      <w:r w:rsidR="005A1462" w:rsidRPr="005A1462">
        <w:rPr>
          <w:rFonts w:ascii="仿宋_GB2312" w:eastAsia="仿宋_GB2312" w:hint="eastAsia"/>
          <w:sz w:val="32"/>
          <w:szCs w:val="32"/>
        </w:rPr>
        <w:t>认真贯彻中央政法工作会议，第二十二次全国法院工作会议、全国高级法院院长会议</w:t>
      </w:r>
      <w:r w:rsidR="005A1462">
        <w:rPr>
          <w:rFonts w:ascii="仿宋_GB2312" w:eastAsia="仿宋_GB2312" w:hint="eastAsia"/>
          <w:sz w:val="32"/>
          <w:szCs w:val="32"/>
        </w:rPr>
        <w:t>、</w:t>
      </w:r>
      <w:r w:rsidR="00980864">
        <w:rPr>
          <w:rFonts w:ascii="仿宋_GB2312" w:eastAsia="仿宋_GB2312" w:hint="eastAsia"/>
          <w:sz w:val="32"/>
          <w:szCs w:val="32"/>
        </w:rPr>
        <w:t>第六次全国法院涉外商</w:t>
      </w:r>
      <w:r w:rsidR="00980864">
        <w:rPr>
          <w:rFonts w:ascii="仿宋_GB2312" w:eastAsia="仿宋_GB2312" w:hint="eastAsia"/>
          <w:sz w:val="32"/>
          <w:szCs w:val="32"/>
        </w:rPr>
        <w:lastRenderedPageBreak/>
        <w:t>事海事审判工作会议</w:t>
      </w:r>
      <w:r w:rsidR="00671F93">
        <w:rPr>
          <w:rFonts w:ascii="仿宋_GB2312" w:eastAsia="仿宋_GB2312" w:hint="eastAsia"/>
          <w:sz w:val="32"/>
          <w:szCs w:val="32"/>
        </w:rPr>
        <w:t>精神，坚持平等保护中外当事人合法权益，依法公正高效审理各类涉外商事纠纷案件。</w:t>
      </w:r>
      <w:r w:rsidR="005A1462" w:rsidRPr="005A1462">
        <w:rPr>
          <w:rFonts w:ascii="仿宋_GB2312" w:eastAsia="仿宋_GB2312" w:hint="eastAsia"/>
          <w:sz w:val="32"/>
          <w:szCs w:val="32"/>
        </w:rPr>
        <w:t>充分认识当前国际形势的复杂性和维护国家利益的极端重要性，始终保持高度的政治敏感性，将涉外商事审判工作置于统筹国内国际两个大局、办好发展安全两件大事中谋划和推进，运用法治手段应对挑战、防范风险，坚决维护国家主权、安全、发展利益。</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2.</w:t>
      </w:r>
      <w:r w:rsidR="00671F93" w:rsidRPr="00BC4A84">
        <w:rPr>
          <w:rFonts w:ascii="楷体" w:eastAsia="楷体" w:hAnsi="楷体" w:cs="华文楷体" w:hint="eastAsia"/>
          <w:bCs/>
          <w:kern w:val="0"/>
          <w:sz w:val="32"/>
          <w:szCs w:val="32"/>
        </w:rPr>
        <w:t>以服务大局为中心，优化保障对外开放机制举措</w:t>
      </w:r>
      <w:r w:rsidR="008A23E4">
        <w:rPr>
          <w:rFonts w:ascii="楷体" w:eastAsia="楷体" w:hAnsi="楷体" w:cs="华文楷体" w:hint="eastAsia"/>
          <w:bCs/>
          <w:kern w:val="0"/>
          <w:sz w:val="32"/>
          <w:szCs w:val="32"/>
        </w:rPr>
        <w:t>。</w:t>
      </w:r>
      <w:r w:rsidR="00671F93">
        <w:rPr>
          <w:rFonts w:ascii="仿宋_GB2312" w:eastAsia="仿宋_GB2312" w:hint="eastAsia"/>
          <w:sz w:val="32"/>
          <w:szCs w:val="32"/>
        </w:rPr>
        <w:t>深刻认识建设自由贸易试验区的重大意义，认真贯彻落实最高人民法院出台的相关司法文件，努力找准司法服务苏州自贸片区建设和经济社会高质量发展的结合点、着</w:t>
      </w:r>
      <w:r w:rsidR="005A1462">
        <w:rPr>
          <w:rFonts w:ascii="仿宋_GB2312" w:eastAsia="仿宋_GB2312" w:hint="eastAsia"/>
          <w:sz w:val="32"/>
          <w:szCs w:val="32"/>
        </w:rPr>
        <w:t>力</w:t>
      </w:r>
      <w:r w:rsidR="00671F93">
        <w:rPr>
          <w:rFonts w:ascii="仿宋_GB2312" w:eastAsia="仿宋_GB2312" w:hint="eastAsia"/>
          <w:sz w:val="32"/>
          <w:szCs w:val="32"/>
        </w:rPr>
        <w:t>点，积极回应苏州自贸片区扩大双向开放、产业转型升级、优化营商环境和推进社会治理现代化等方面的司法需求，助力提升苏州自贸片区的公信力及竞争力。积极探索总结可复制、可推广的司法服务保障机制和经验，扩大司法审判的辐射效应，营造国际一流法治化营商环境，努力构建与开放型经济新体制相适应的涉外、涉港澳台商事审判工作新格局。</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3.</w:t>
      </w:r>
      <w:r w:rsidR="00671F93" w:rsidRPr="00BC4A84">
        <w:rPr>
          <w:rFonts w:ascii="楷体" w:eastAsia="楷体" w:hAnsi="楷体" w:cs="华文楷体" w:hint="eastAsia"/>
          <w:bCs/>
          <w:kern w:val="0"/>
          <w:sz w:val="32"/>
          <w:szCs w:val="32"/>
        </w:rPr>
        <w:t>以提升质效为动能，深化涉外商事审判精品战略</w:t>
      </w:r>
      <w:r w:rsidR="008A23E4">
        <w:rPr>
          <w:rFonts w:ascii="楷体" w:eastAsia="楷体" w:hAnsi="楷体" w:cs="华文楷体" w:hint="eastAsia"/>
          <w:bCs/>
          <w:kern w:val="0"/>
          <w:sz w:val="32"/>
          <w:szCs w:val="32"/>
        </w:rPr>
        <w:t>。</w:t>
      </w:r>
      <w:r w:rsidR="00997EA7">
        <w:rPr>
          <w:rFonts w:ascii="仿宋_GB2312" w:eastAsia="仿宋_GB2312" w:hint="eastAsia"/>
          <w:sz w:val="32"/>
          <w:szCs w:val="32"/>
        </w:rPr>
        <w:t>注重审理好</w:t>
      </w:r>
      <w:r w:rsidR="00671F93">
        <w:rPr>
          <w:rFonts w:ascii="仿宋_GB2312" w:eastAsia="仿宋_GB2312" w:hint="eastAsia"/>
          <w:sz w:val="32"/>
          <w:szCs w:val="32"/>
        </w:rPr>
        <w:t>涉及国际条约</w:t>
      </w:r>
      <w:r w:rsidR="00F7691A">
        <w:rPr>
          <w:rFonts w:ascii="仿宋_GB2312" w:eastAsia="仿宋_GB2312" w:hint="eastAsia"/>
          <w:sz w:val="32"/>
          <w:szCs w:val="32"/>
        </w:rPr>
        <w:t>和</w:t>
      </w:r>
      <w:r w:rsidR="00671F93">
        <w:rPr>
          <w:rFonts w:ascii="仿宋_GB2312" w:eastAsia="仿宋_GB2312" w:hint="eastAsia"/>
          <w:sz w:val="32"/>
          <w:szCs w:val="32"/>
        </w:rPr>
        <w:t>国际惯例适用、</w:t>
      </w:r>
      <w:r w:rsidR="00671F93" w:rsidRPr="00980864">
        <w:rPr>
          <w:rFonts w:ascii="仿宋_GB2312" w:eastAsia="仿宋_GB2312" w:hint="eastAsia"/>
          <w:sz w:val="32"/>
          <w:szCs w:val="32"/>
        </w:rPr>
        <w:t>新型商业规则认定、法律或政策调整、市场创新变化、新业态发展等</w:t>
      </w:r>
      <w:r w:rsidR="00997EA7">
        <w:rPr>
          <w:rFonts w:ascii="仿宋_GB2312" w:eastAsia="仿宋_GB2312" w:hint="eastAsia"/>
          <w:sz w:val="32"/>
          <w:szCs w:val="32"/>
        </w:rPr>
        <w:t>行业影响广、社会关注度高</w:t>
      </w:r>
      <w:r w:rsidR="00671F93" w:rsidRPr="00980864">
        <w:rPr>
          <w:rFonts w:ascii="仿宋_GB2312" w:eastAsia="仿宋_GB2312" w:hint="eastAsia"/>
          <w:sz w:val="32"/>
          <w:szCs w:val="32"/>
        </w:rPr>
        <w:t>的案件，</w:t>
      </w:r>
      <w:r w:rsidR="00997EA7">
        <w:rPr>
          <w:rFonts w:ascii="仿宋_GB2312" w:eastAsia="仿宋_GB2312" w:hint="eastAsia"/>
          <w:sz w:val="32"/>
          <w:szCs w:val="32"/>
        </w:rPr>
        <w:t>充分发挥</w:t>
      </w:r>
      <w:r w:rsidR="00671F93" w:rsidRPr="00980864">
        <w:rPr>
          <w:rFonts w:ascii="仿宋_GB2312" w:eastAsia="仿宋_GB2312" w:hint="eastAsia"/>
          <w:sz w:val="32"/>
          <w:szCs w:val="32"/>
        </w:rPr>
        <w:t>国际商事专家委员会“智库”作用，努力挖掘和打造更多有价值的涉外商事案例。健全域外法查明机制，</w:t>
      </w:r>
      <w:r w:rsidR="00671F93" w:rsidRPr="00980864">
        <w:rPr>
          <w:rFonts w:ascii="仿宋_GB2312" w:eastAsia="仿宋_GB2312" w:hint="eastAsia"/>
          <w:sz w:val="32"/>
          <w:szCs w:val="32"/>
        </w:rPr>
        <w:lastRenderedPageBreak/>
        <w:t>加强对涉外商事审判中域外法查明途径、查明责任、查明费用、专家证人出庭、域外法及判例采信等问题的研究，规范域外法查明程序，着力提升涉外商事审判法律适用水平。</w:t>
      </w:r>
    </w:p>
    <w:p w:rsidR="004B329B" w:rsidRPr="008A23E4" w:rsidRDefault="007C0EB3" w:rsidP="008A23E4">
      <w:pPr>
        <w:ind w:firstLineChars="200" w:firstLine="640"/>
        <w:rPr>
          <w:rFonts w:ascii="楷体" w:eastAsia="楷体" w:hAnsi="楷体" w:cs="华文楷体"/>
          <w:bCs/>
          <w:kern w:val="0"/>
          <w:sz w:val="32"/>
          <w:szCs w:val="32"/>
        </w:rPr>
      </w:pPr>
      <w:r>
        <w:rPr>
          <w:rFonts w:ascii="楷体" w:eastAsia="楷体" w:hAnsi="楷体" w:cs="华文楷体" w:hint="eastAsia"/>
          <w:bCs/>
          <w:kern w:val="0"/>
          <w:sz w:val="32"/>
          <w:szCs w:val="32"/>
        </w:rPr>
        <w:t>4.</w:t>
      </w:r>
      <w:r w:rsidR="00671F93" w:rsidRPr="00BC4A84">
        <w:rPr>
          <w:rFonts w:ascii="楷体" w:eastAsia="楷体" w:hAnsi="楷体" w:cs="华文楷体" w:hint="eastAsia"/>
          <w:bCs/>
          <w:kern w:val="0"/>
          <w:sz w:val="32"/>
          <w:szCs w:val="32"/>
        </w:rPr>
        <w:t>以能力建设为</w:t>
      </w:r>
      <w:r w:rsidR="00997EA7" w:rsidRPr="00BC4A84">
        <w:rPr>
          <w:rFonts w:ascii="楷体" w:eastAsia="楷体" w:hAnsi="楷体" w:cs="华文楷体" w:hint="eastAsia"/>
          <w:bCs/>
          <w:kern w:val="0"/>
          <w:sz w:val="32"/>
          <w:szCs w:val="32"/>
        </w:rPr>
        <w:t>基础</w:t>
      </w:r>
      <w:r w:rsidR="00671F93" w:rsidRPr="00BC4A84">
        <w:rPr>
          <w:rFonts w:ascii="楷体" w:eastAsia="楷体" w:hAnsi="楷体" w:cs="华文楷体" w:hint="eastAsia"/>
          <w:bCs/>
          <w:kern w:val="0"/>
          <w:sz w:val="32"/>
          <w:szCs w:val="32"/>
        </w:rPr>
        <w:t>，</w:t>
      </w:r>
      <w:r w:rsidR="00F7691A">
        <w:rPr>
          <w:rFonts w:ascii="楷体" w:eastAsia="楷体" w:hAnsi="楷体" w:cs="华文楷体" w:hint="eastAsia"/>
          <w:bCs/>
          <w:kern w:val="0"/>
          <w:sz w:val="32"/>
          <w:szCs w:val="32"/>
        </w:rPr>
        <w:t>建设高素质专业化人才队伍</w:t>
      </w:r>
      <w:r w:rsidR="008A23E4">
        <w:rPr>
          <w:rFonts w:ascii="楷体" w:eastAsia="楷体" w:hAnsi="楷体" w:cs="华文楷体" w:hint="eastAsia"/>
          <w:bCs/>
          <w:kern w:val="0"/>
          <w:sz w:val="32"/>
          <w:szCs w:val="32"/>
        </w:rPr>
        <w:t>。</w:t>
      </w:r>
      <w:r w:rsidR="00997EA7" w:rsidRPr="00997EA7">
        <w:rPr>
          <w:rFonts w:ascii="仿宋_GB2312" w:eastAsia="仿宋_GB2312" w:hint="eastAsia"/>
          <w:sz w:val="32"/>
          <w:szCs w:val="32"/>
        </w:rPr>
        <w:t>加强专业化培训，坚持引进来和走出去相结合，</w:t>
      </w:r>
      <w:r w:rsidR="00997EA7">
        <w:rPr>
          <w:rFonts w:ascii="仿宋_GB2312" w:eastAsia="仿宋_GB2312" w:hint="eastAsia"/>
          <w:sz w:val="32"/>
          <w:szCs w:val="32"/>
        </w:rPr>
        <w:t>依托与相关高等院校的</w:t>
      </w:r>
      <w:r w:rsidR="00997EA7" w:rsidRPr="00997EA7">
        <w:rPr>
          <w:rFonts w:ascii="仿宋_GB2312" w:eastAsia="仿宋_GB2312" w:hint="eastAsia"/>
          <w:sz w:val="32"/>
          <w:szCs w:val="32"/>
        </w:rPr>
        <w:t>合作机制，在实务课程、案例研究、课题调研、人才培养等方面开展深度合作。充分发挥中国法学会案例法学研究会在</w:t>
      </w:r>
      <w:r w:rsidR="00997EA7">
        <w:rPr>
          <w:rFonts w:ascii="仿宋_GB2312" w:eastAsia="仿宋_GB2312" w:hint="eastAsia"/>
          <w:sz w:val="32"/>
          <w:szCs w:val="32"/>
        </w:rPr>
        <w:t>苏州国际商事</w:t>
      </w:r>
      <w:r w:rsidR="00997EA7" w:rsidRPr="00997EA7">
        <w:rPr>
          <w:rFonts w:ascii="仿宋_GB2312" w:eastAsia="仿宋_GB2312" w:hint="eastAsia"/>
          <w:sz w:val="32"/>
          <w:szCs w:val="32"/>
        </w:rPr>
        <w:t>法庭设立</w:t>
      </w:r>
      <w:r w:rsidR="00997EA7">
        <w:rPr>
          <w:rFonts w:ascii="仿宋_GB2312" w:eastAsia="仿宋_GB2312" w:hint="eastAsia"/>
          <w:sz w:val="32"/>
          <w:szCs w:val="32"/>
        </w:rPr>
        <w:t>的</w:t>
      </w:r>
      <w:r w:rsidR="00997EA7" w:rsidRPr="00997EA7">
        <w:rPr>
          <w:rFonts w:ascii="仿宋_GB2312" w:eastAsia="仿宋_GB2312" w:hint="eastAsia"/>
          <w:sz w:val="32"/>
          <w:szCs w:val="32"/>
        </w:rPr>
        <w:t>涉外商事案例调研基地</w:t>
      </w:r>
      <w:r w:rsidR="00997EA7">
        <w:rPr>
          <w:rFonts w:ascii="仿宋_GB2312" w:eastAsia="仿宋_GB2312" w:hint="eastAsia"/>
          <w:sz w:val="32"/>
          <w:szCs w:val="32"/>
        </w:rPr>
        <w:t>作用，密切关注涉外商事</w:t>
      </w:r>
      <w:r w:rsidR="00997EA7" w:rsidRPr="00997EA7">
        <w:rPr>
          <w:rFonts w:ascii="仿宋_GB2312" w:eastAsia="仿宋_GB2312" w:hint="eastAsia"/>
          <w:sz w:val="32"/>
          <w:szCs w:val="32"/>
        </w:rPr>
        <w:t>司法理论和实务前沿热点和新情况、新问题，加强前瞻性调查研究，切实增强司法调研的针对性和时效性，</w:t>
      </w:r>
      <w:r w:rsidR="00671F93">
        <w:rPr>
          <w:rFonts w:ascii="仿宋_GB2312" w:eastAsia="仿宋_GB2312" w:hint="eastAsia"/>
          <w:sz w:val="32"/>
          <w:szCs w:val="32"/>
        </w:rPr>
        <w:t>拓展调研成果转化路径，</w:t>
      </w:r>
      <w:r w:rsidR="00F7691A">
        <w:rPr>
          <w:rFonts w:ascii="仿宋_GB2312" w:eastAsia="仿宋_GB2312" w:hint="eastAsia"/>
          <w:sz w:val="32"/>
          <w:szCs w:val="32"/>
        </w:rPr>
        <w:t>不断</w:t>
      </w:r>
      <w:r w:rsidR="00671F93">
        <w:rPr>
          <w:rFonts w:ascii="仿宋_GB2312" w:eastAsia="仿宋_GB2312" w:hint="eastAsia"/>
          <w:sz w:val="32"/>
          <w:szCs w:val="32"/>
        </w:rPr>
        <w:t>提升涉外商事审判工作的综合影响力。</w:t>
      </w:r>
    </w:p>
    <w:sectPr w:rsidR="004B329B" w:rsidRPr="008A23E4" w:rsidSect="002300A1">
      <w:footerReference w:type="default" r:id="rId11"/>
      <w:pgSz w:w="11906" w:h="16838"/>
      <w:pgMar w:top="1701"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6C" w:rsidRDefault="000B156C">
      <w:r>
        <w:separator/>
      </w:r>
    </w:p>
  </w:endnote>
  <w:endnote w:type="continuationSeparator" w:id="0">
    <w:p w:rsidR="000B156C" w:rsidRDefault="000B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11379406"/>
      <w:docPartObj>
        <w:docPartGallery w:val="Page Numbers (Bottom of Page)"/>
        <w:docPartUnique/>
      </w:docPartObj>
    </w:sdtPr>
    <w:sdtEndPr/>
    <w:sdtContent>
      <w:p w:rsidR="004B329B" w:rsidRPr="00BB2CD0" w:rsidRDefault="00BB2CD0" w:rsidP="00BB2CD0">
        <w:pPr>
          <w:pStyle w:val="a4"/>
          <w:jc w:val="center"/>
          <w:rPr>
            <w:rFonts w:ascii="Times New Roman" w:hAnsi="Times New Roman" w:cs="Times New Roman"/>
            <w:sz w:val="24"/>
            <w:szCs w:val="24"/>
          </w:rPr>
        </w:pPr>
        <w:r w:rsidRPr="009436C5">
          <w:rPr>
            <w:rFonts w:ascii="宋体" w:eastAsia="宋体" w:hAnsi="宋体" w:cs="Times New Roman"/>
            <w:sz w:val="24"/>
            <w:szCs w:val="24"/>
          </w:rPr>
          <w:t>—</w:t>
        </w:r>
        <w:r w:rsidRPr="009436C5">
          <w:rPr>
            <w:rFonts w:ascii="Times New Roman" w:hAnsi="Times New Roman" w:cs="Times New Roman"/>
            <w:sz w:val="24"/>
            <w:szCs w:val="24"/>
          </w:rPr>
          <w:t xml:space="preserve"> </w:t>
        </w:r>
        <w:r w:rsidRPr="009436C5">
          <w:rPr>
            <w:rFonts w:ascii="Times New Roman" w:hAnsi="Times New Roman" w:cs="Times New Roman"/>
            <w:sz w:val="24"/>
            <w:szCs w:val="24"/>
          </w:rPr>
          <w:fldChar w:fldCharType="begin"/>
        </w:r>
        <w:r w:rsidRPr="009436C5">
          <w:rPr>
            <w:rFonts w:ascii="Times New Roman" w:hAnsi="Times New Roman" w:cs="Times New Roman"/>
            <w:sz w:val="24"/>
            <w:szCs w:val="24"/>
          </w:rPr>
          <w:instrText>PAGE   \* MERGEFORMAT</w:instrText>
        </w:r>
        <w:r w:rsidRPr="009436C5">
          <w:rPr>
            <w:rFonts w:ascii="Times New Roman" w:hAnsi="Times New Roman" w:cs="Times New Roman"/>
            <w:sz w:val="24"/>
            <w:szCs w:val="24"/>
          </w:rPr>
          <w:fldChar w:fldCharType="separate"/>
        </w:r>
        <w:r w:rsidR="0022661A" w:rsidRPr="0022661A">
          <w:rPr>
            <w:rFonts w:ascii="Times New Roman" w:hAnsi="Times New Roman" w:cs="Times New Roman"/>
            <w:noProof/>
            <w:sz w:val="24"/>
            <w:szCs w:val="24"/>
            <w:lang w:val="zh-CN"/>
          </w:rPr>
          <w:t>7</w:t>
        </w:r>
        <w:r w:rsidRPr="009436C5">
          <w:rPr>
            <w:rFonts w:ascii="Times New Roman" w:hAnsi="Times New Roman" w:cs="Times New Roman"/>
            <w:sz w:val="24"/>
            <w:szCs w:val="24"/>
          </w:rPr>
          <w:fldChar w:fldCharType="end"/>
        </w:r>
        <w:r w:rsidRPr="009436C5">
          <w:rPr>
            <w:rFonts w:ascii="Times New Roman" w:hAnsi="Times New Roman" w:cs="Times New Roman"/>
            <w:sz w:val="24"/>
            <w:szCs w:val="24"/>
          </w:rPr>
          <w:t xml:space="preserve"> </w:t>
        </w:r>
        <w:r w:rsidRPr="009436C5">
          <w:rPr>
            <w:rFonts w:ascii="宋体" w:eastAsia="宋体" w:hAnsi="宋体" w:cs="Times New Roman"/>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6C" w:rsidRDefault="000B156C">
      <w:r>
        <w:separator/>
      </w:r>
    </w:p>
  </w:footnote>
  <w:footnote w:type="continuationSeparator" w:id="0">
    <w:p w:rsidR="000B156C" w:rsidRDefault="000B1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44D"/>
    <w:multiLevelType w:val="multilevel"/>
    <w:tmpl w:val="032F544D"/>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悠">
    <w15:presenceInfo w15:providerId="WPS Office" w15:userId="3633709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zlmZTc1MzIyYzI3ODdjYzQ1NDI2YTQ2MGU5MWUifQ=="/>
  </w:docVars>
  <w:rsids>
    <w:rsidRoot w:val="007C367E"/>
    <w:rsid w:val="0003419E"/>
    <w:rsid w:val="00043A40"/>
    <w:rsid w:val="000676DC"/>
    <w:rsid w:val="0008187A"/>
    <w:rsid w:val="00083ACA"/>
    <w:rsid w:val="0008543F"/>
    <w:rsid w:val="00091966"/>
    <w:rsid w:val="000A42BE"/>
    <w:rsid w:val="000B156C"/>
    <w:rsid w:val="000C1147"/>
    <w:rsid w:val="000E5758"/>
    <w:rsid w:val="00111198"/>
    <w:rsid w:val="001126C8"/>
    <w:rsid w:val="00112ABA"/>
    <w:rsid w:val="00121286"/>
    <w:rsid w:val="00136EB7"/>
    <w:rsid w:val="00165FAA"/>
    <w:rsid w:val="00185756"/>
    <w:rsid w:val="001A6900"/>
    <w:rsid w:val="001B66B9"/>
    <w:rsid w:val="001C29A0"/>
    <w:rsid w:val="001D1FF4"/>
    <w:rsid w:val="001E3481"/>
    <w:rsid w:val="00201250"/>
    <w:rsid w:val="00221E49"/>
    <w:rsid w:val="0022661A"/>
    <w:rsid w:val="002300A1"/>
    <w:rsid w:val="002464E9"/>
    <w:rsid w:val="00255BE7"/>
    <w:rsid w:val="00281029"/>
    <w:rsid w:val="0029424A"/>
    <w:rsid w:val="00294926"/>
    <w:rsid w:val="002B76CB"/>
    <w:rsid w:val="002C37A7"/>
    <w:rsid w:val="002D08CA"/>
    <w:rsid w:val="002F3C25"/>
    <w:rsid w:val="00323BAD"/>
    <w:rsid w:val="003631CA"/>
    <w:rsid w:val="003A11CC"/>
    <w:rsid w:val="003A2AEE"/>
    <w:rsid w:val="003B1256"/>
    <w:rsid w:val="003B6702"/>
    <w:rsid w:val="003C0BD6"/>
    <w:rsid w:val="003D7B36"/>
    <w:rsid w:val="003E1991"/>
    <w:rsid w:val="003E37D2"/>
    <w:rsid w:val="003E41F0"/>
    <w:rsid w:val="003F146A"/>
    <w:rsid w:val="003F5688"/>
    <w:rsid w:val="00413C46"/>
    <w:rsid w:val="00432267"/>
    <w:rsid w:val="00454166"/>
    <w:rsid w:val="00463F60"/>
    <w:rsid w:val="004670D8"/>
    <w:rsid w:val="004724AF"/>
    <w:rsid w:val="004A3922"/>
    <w:rsid w:val="004A64DE"/>
    <w:rsid w:val="004A651B"/>
    <w:rsid w:val="004B329B"/>
    <w:rsid w:val="004D1EA2"/>
    <w:rsid w:val="00523201"/>
    <w:rsid w:val="00523BAB"/>
    <w:rsid w:val="00530441"/>
    <w:rsid w:val="00540A7D"/>
    <w:rsid w:val="005473A9"/>
    <w:rsid w:val="00550A48"/>
    <w:rsid w:val="005712AE"/>
    <w:rsid w:val="00583E18"/>
    <w:rsid w:val="005A1462"/>
    <w:rsid w:val="005B2E4F"/>
    <w:rsid w:val="005D6ED4"/>
    <w:rsid w:val="005E2413"/>
    <w:rsid w:val="005F4BFD"/>
    <w:rsid w:val="00607C28"/>
    <w:rsid w:val="006568C6"/>
    <w:rsid w:val="00671F93"/>
    <w:rsid w:val="006728E9"/>
    <w:rsid w:val="00684B21"/>
    <w:rsid w:val="00686D3D"/>
    <w:rsid w:val="006C6DA2"/>
    <w:rsid w:val="007030E8"/>
    <w:rsid w:val="0071228D"/>
    <w:rsid w:val="007207FB"/>
    <w:rsid w:val="00732A32"/>
    <w:rsid w:val="0073364B"/>
    <w:rsid w:val="007470A4"/>
    <w:rsid w:val="00755582"/>
    <w:rsid w:val="007628AE"/>
    <w:rsid w:val="00766B3B"/>
    <w:rsid w:val="00781097"/>
    <w:rsid w:val="00795E05"/>
    <w:rsid w:val="007B0DD5"/>
    <w:rsid w:val="007C0EB3"/>
    <w:rsid w:val="007C216A"/>
    <w:rsid w:val="007C367E"/>
    <w:rsid w:val="007E4EA9"/>
    <w:rsid w:val="007F1CE0"/>
    <w:rsid w:val="007F4060"/>
    <w:rsid w:val="00807239"/>
    <w:rsid w:val="008072B7"/>
    <w:rsid w:val="00832ACA"/>
    <w:rsid w:val="00846525"/>
    <w:rsid w:val="008472EA"/>
    <w:rsid w:val="00847D46"/>
    <w:rsid w:val="008532DB"/>
    <w:rsid w:val="00886C66"/>
    <w:rsid w:val="008A23E4"/>
    <w:rsid w:val="00936EDC"/>
    <w:rsid w:val="00970733"/>
    <w:rsid w:val="00980864"/>
    <w:rsid w:val="009930FD"/>
    <w:rsid w:val="00997EA7"/>
    <w:rsid w:val="009C62D5"/>
    <w:rsid w:val="009D6CC7"/>
    <w:rsid w:val="009E1949"/>
    <w:rsid w:val="009E3760"/>
    <w:rsid w:val="009E7761"/>
    <w:rsid w:val="009F57E8"/>
    <w:rsid w:val="00A01E1D"/>
    <w:rsid w:val="00A12030"/>
    <w:rsid w:val="00A15FAB"/>
    <w:rsid w:val="00A227EB"/>
    <w:rsid w:val="00A275C7"/>
    <w:rsid w:val="00A53F41"/>
    <w:rsid w:val="00A67F62"/>
    <w:rsid w:val="00A90CC4"/>
    <w:rsid w:val="00AA1D7C"/>
    <w:rsid w:val="00AC0AC7"/>
    <w:rsid w:val="00AE2662"/>
    <w:rsid w:val="00AF4B34"/>
    <w:rsid w:val="00B06D3C"/>
    <w:rsid w:val="00B074FE"/>
    <w:rsid w:val="00B07622"/>
    <w:rsid w:val="00BB2CD0"/>
    <w:rsid w:val="00BC4A84"/>
    <w:rsid w:val="00BE42E0"/>
    <w:rsid w:val="00BF3DCA"/>
    <w:rsid w:val="00C26AFD"/>
    <w:rsid w:val="00C57C58"/>
    <w:rsid w:val="00C57E0E"/>
    <w:rsid w:val="00C60702"/>
    <w:rsid w:val="00C63881"/>
    <w:rsid w:val="00C8328E"/>
    <w:rsid w:val="00C9308E"/>
    <w:rsid w:val="00CA2611"/>
    <w:rsid w:val="00CB4B13"/>
    <w:rsid w:val="00CF4DED"/>
    <w:rsid w:val="00D01B3C"/>
    <w:rsid w:val="00D02C56"/>
    <w:rsid w:val="00D10516"/>
    <w:rsid w:val="00D660EB"/>
    <w:rsid w:val="00D858FE"/>
    <w:rsid w:val="00D85ECF"/>
    <w:rsid w:val="00D87432"/>
    <w:rsid w:val="00DA398E"/>
    <w:rsid w:val="00DF24FD"/>
    <w:rsid w:val="00DF5D99"/>
    <w:rsid w:val="00DF71E8"/>
    <w:rsid w:val="00E07CB5"/>
    <w:rsid w:val="00E131B8"/>
    <w:rsid w:val="00E15DE7"/>
    <w:rsid w:val="00E16C99"/>
    <w:rsid w:val="00E242E6"/>
    <w:rsid w:val="00E342F6"/>
    <w:rsid w:val="00E36812"/>
    <w:rsid w:val="00E61912"/>
    <w:rsid w:val="00E757AE"/>
    <w:rsid w:val="00E80459"/>
    <w:rsid w:val="00E81CCB"/>
    <w:rsid w:val="00E86437"/>
    <w:rsid w:val="00EB3A6D"/>
    <w:rsid w:val="00ED4833"/>
    <w:rsid w:val="00F02AEF"/>
    <w:rsid w:val="00F05DBB"/>
    <w:rsid w:val="00F21014"/>
    <w:rsid w:val="00F4765D"/>
    <w:rsid w:val="00F517FB"/>
    <w:rsid w:val="00F524D4"/>
    <w:rsid w:val="00F7691A"/>
    <w:rsid w:val="00F86681"/>
    <w:rsid w:val="00FA6653"/>
    <w:rsid w:val="00FE0E7A"/>
    <w:rsid w:val="60A5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paragraph" w:styleId="a7">
    <w:name w:val="Revision"/>
    <w:hidden/>
    <w:uiPriority w:val="99"/>
    <w:unhideWhenUsed/>
    <w:rsid w:val="00CF4D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paragraph" w:styleId="a7">
    <w:name w:val="Revision"/>
    <w:hidden/>
    <w:uiPriority w:val="99"/>
    <w:unhideWhenUsed/>
    <w:rsid w:val="00CF4D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24237;&#21153;2023&#65288;&#22269;&#38469;&#21830;&#20107;&#27861;&#24237;&#65289;\2&#28041;&#22806;&#30333;&#30382;&#20070;2022\Microsoft%20Word%20&#20013;&#30340;&#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237;&#21153;2023&#65288;&#22269;&#38469;&#21830;&#20107;&#27861;&#24237;&#65289;\2&#28041;&#22806;&#30333;&#30382;&#20070;2022\Microsoft%20Word%20&#20013;&#3034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Sheet1!$H$122:$H$127</c:f>
              <c:strCache>
                <c:ptCount val="6"/>
                <c:pt idx="0">
                  <c:v>判决</c:v>
                </c:pt>
                <c:pt idx="1">
                  <c:v>撤诉</c:v>
                </c:pt>
                <c:pt idx="2">
                  <c:v>调解</c:v>
                </c:pt>
                <c:pt idx="3">
                  <c:v>驳回起诉</c:v>
                </c:pt>
                <c:pt idx="4">
                  <c:v>裁定移送</c:v>
                </c:pt>
                <c:pt idx="5">
                  <c:v>司法确认</c:v>
                </c:pt>
              </c:strCache>
            </c:strRef>
          </c:cat>
          <c:val>
            <c:numRef>
              <c:f>Sheet1!$I$122:$I$127</c:f>
              <c:numCache>
                <c:formatCode>General</c:formatCode>
                <c:ptCount val="6"/>
                <c:pt idx="0">
                  <c:v>173</c:v>
                </c:pt>
                <c:pt idx="1">
                  <c:v>54</c:v>
                </c:pt>
                <c:pt idx="2">
                  <c:v>42</c:v>
                </c:pt>
                <c:pt idx="3">
                  <c:v>1</c:v>
                </c:pt>
                <c:pt idx="4">
                  <c:v>9</c:v>
                </c:pt>
                <c:pt idx="5">
                  <c:v>11</c:v>
                </c:pt>
              </c:numCache>
            </c:numRef>
          </c:val>
        </c:ser>
        <c:ser>
          <c:idx val="1"/>
          <c:order val="1"/>
          <c:dPt>
            <c:idx val="0"/>
            <c:bubble3D val="0"/>
          </c:dPt>
          <c:dPt>
            <c:idx val="1"/>
            <c:bubble3D val="0"/>
          </c:dPt>
          <c:dPt>
            <c:idx val="2"/>
            <c:bubble3D val="0"/>
          </c:dPt>
          <c:dPt>
            <c:idx val="3"/>
            <c:bubble3D val="0"/>
          </c:dPt>
          <c:dPt>
            <c:idx val="4"/>
            <c:bubble3D val="0"/>
          </c:dPt>
          <c:dPt>
            <c:idx val="5"/>
            <c:bubble3D val="0"/>
          </c:dPt>
          <c:cat>
            <c:strRef>
              <c:f>Sheet1!$H$122:$H$127</c:f>
              <c:strCache>
                <c:ptCount val="6"/>
                <c:pt idx="0">
                  <c:v>判决</c:v>
                </c:pt>
                <c:pt idx="1">
                  <c:v>撤诉</c:v>
                </c:pt>
                <c:pt idx="2">
                  <c:v>调解</c:v>
                </c:pt>
                <c:pt idx="3">
                  <c:v>驳回起诉</c:v>
                </c:pt>
                <c:pt idx="4">
                  <c:v>裁定移送</c:v>
                </c:pt>
                <c:pt idx="5">
                  <c:v>司法确认</c:v>
                </c:pt>
              </c:strCache>
            </c:strRef>
          </c:cat>
          <c:val>
            <c:numRef>
              <c:f>Sheet1!$J$122:$J$127</c:f>
              <c:numCache>
                <c:formatCode>General</c:formatCode>
                <c:ptCount val="6"/>
                <c:pt idx="0">
                  <c:v>0.59655172413793101</c:v>
                </c:pt>
                <c:pt idx="1">
                  <c:v>0.18620689655172401</c:v>
                </c:pt>
                <c:pt idx="2">
                  <c:v>0.14482758620689701</c:v>
                </c:pt>
                <c:pt idx="3">
                  <c:v>3.4482758620689698E-3</c:v>
                </c:pt>
                <c:pt idx="4">
                  <c:v>3.10344827586207E-2</c:v>
                </c:pt>
                <c:pt idx="5">
                  <c:v>3.7931034482758599E-2</c:v>
                </c:pt>
              </c:numCache>
            </c:numRef>
          </c:val>
        </c:ser>
        <c:dLbls>
          <c:showLegendKey val="0"/>
          <c:showVal val="0"/>
          <c:showCatName val="0"/>
          <c:showSerName val="0"/>
          <c:showPercent val="0"/>
          <c:showBubbleSize val="0"/>
          <c:showLeaderLines val="0"/>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dPt>
          <c:dPt>
            <c:idx val="1"/>
            <c:bubble3D val="0"/>
          </c:dPt>
          <c:dPt>
            <c:idx val="2"/>
            <c:bubble3D val="0"/>
          </c:dPt>
          <c:cat>
            <c:strRef>
              <c:f>Sheet1!$H$111:$H$113</c:f>
              <c:strCache>
                <c:ptCount val="3"/>
                <c:pt idx="0">
                  <c:v>100万元以下</c:v>
                </c:pt>
                <c:pt idx="1">
                  <c:v>100万元-1000万元</c:v>
                </c:pt>
                <c:pt idx="2">
                  <c:v>1000万元以上</c:v>
                </c:pt>
              </c:strCache>
            </c:strRef>
          </c:cat>
          <c:val>
            <c:numRef>
              <c:f>Sheet1!$I$111:$I$113</c:f>
              <c:numCache>
                <c:formatCode>General</c:formatCode>
                <c:ptCount val="3"/>
                <c:pt idx="0">
                  <c:v>215</c:v>
                </c:pt>
                <c:pt idx="1">
                  <c:v>142</c:v>
                </c:pt>
                <c:pt idx="2">
                  <c:v>66</c:v>
                </c:pt>
              </c:numCache>
            </c:numRef>
          </c:val>
        </c:ser>
        <c:ser>
          <c:idx val="1"/>
          <c:order val="1"/>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Sheet1!$H$111:$H$113</c:f>
              <c:strCache>
                <c:ptCount val="3"/>
                <c:pt idx="0">
                  <c:v>100万元以下</c:v>
                </c:pt>
                <c:pt idx="1">
                  <c:v>100万元-1000万元</c:v>
                </c:pt>
                <c:pt idx="2">
                  <c:v>1000万元以上</c:v>
                </c:pt>
              </c:strCache>
            </c:strRef>
          </c:cat>
          <c:val>
            <c:numRef>
              <c:f>Sheet1!$J$111:$J$113</c:f>
              <c:numCache>
                <c:formatCode>0.00%</c:formatCode>
                <c:ptCount val="3"/>
                <c:pt idx="0">
                  <c:v>0.50827423167848695</c:v>
                </c:pt>
                <c:pt idx="1">
                  <c:v>0.33569739952718702</c:v>
                </c:pt>
                <c:pt idx="2">
                  <c:v>0.15602836879432599</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4DB6-740B-4DDB-ADA4-8C18B892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蔡燕芳</dc:creator>
  <cp:lastModifiedBy>薛忠勋</cp:lastModifiedBy>
  <cp:revision>25</cp:revision>
  <cp:lastPrinted>2023-02-17T06:48:00Z</cp:lastPrinted>
  <dcterms:created xsi:type="dcterms:W3CDTF">2023-02-19T01:38:00Z</dcterms:created>
  <dcterms:modified xsi:type="dcterms:W3CDTF">2023-03-06T11:43:00Z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E65A48890EDC416BAD616634DEB1CDA5</vt:lpwstr>
  </property>
</Properties>
</file>