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47" w:rsidRDefault="0026123D">
      <w:pPr>
        <w:adjustRightInd w:val="0"/>
        <w:snapToGrid w:val="0"/>
        <w:jc w:val="center"/>
        <w:rPr>
          <w:rFonts w:ascii="黑体" w:eastAsia="黑体" w:hAnsi="黑体"/>
          <w:sz w:val="44"/>
          <w:szCs w:val="44"/>
        </w:rPr>
      </w:pPr>
      <w:r>
        <w:rPr>
          <w:rFonts w:ascii="黑体" w:eastAsia="黑体" w:hAnsi="黑体"/>
          <w:sz w:val="44"/>
          <w:szCs w:val="44"/>
        </w:rPr>
        <w:t>苏 州 市 中 级 人 民 法 院</w:t>
      </w:r>
    </w:p>
    <w:p w:rsidR="003B2247" w:rsidRDefault="0026123D">
      <w:pPr>
        <w:adjustRightInd w:val="0"/>
        <w:snapToGrid w:val="0"/>
        <w:jc w:val="center"/>
        <w:rPr>
          <w:rFonts w:ascii="黑体" w:eastAsia="黑体" w:hAnsi="黑体"/>
          <w:sz w:val="44"/>
          <w:szCs w:val="44"/>
        </w:rPr>
      </w:pPr>
      <w:r>
        <w:rPr>
          <w:rFonts w:ascii="黑体" w:eastAsia="黑体" w:hAnsi="黑体"/>
          <w:sz w:val="44"/>
          <w:szCs w:val="44"/>
        </w:rPr>
        <w:t>破产审判</w:t>
      </w:r>
      <w:r>
        <w:rPr>
          <w:rFonts w:ascii="黑体" w:eastAsia="黑体" w:hAnsi="黑体" w:hint="eastAsia"/>
          <w:sz w:val="44"/>
          <w:szCs w:val="44"/>
        </w:rPr>
        <w:t>工作报告</w:t>
      </w:r>
      <w:r>
        <w:rPr>
          <w:rFonts w:ascii="黑体" w:eastAsia="黑体" w:hAnsi="黑体"/>
          <w:sz w:val="44"/>
          <w:szCs w:val="44"/>
        </w:rPr>
        <w:t>（20</w:t>
      </w:r>
      <w:r>
        <w:rPr>
          <w:rFonts w:ascii="黑体" w:eastAsia="黑体" w:hAnsi="黑体" w:hint="eastAsia"/>
          <w:sz w:val="44"/>
          <w:szCs w:val="44"/>
        </w:rPr>
        <w:t>22</w:t>
      </w:r>
      <w:r>
        <w:rPr>
          <w:rFonts w:ascii="黑体" w:eastAsia="黑体" w:hAnsi="黑体"/>
          <w:sz w:val="44"/>
          <w:szCs w:val="44"/>
        </w:rPr>
        <w:t>）</w:t>
      </w:r>
    </w:p>
    <w:p w:rsidR="003B2247" w:rsidRDefault="003B2247">
      <w:pPr>
        <w:adjustRightInd w:val="0"/>
        <w:snapToGrid w:val="0"/>
        <w:jc w:val="center"/>
        <w:rPr>
          <w:rFonts w:eastAsia="黑体"/>
          <w:sz w:val="32"/>
          <w:szCs w:val="32"/>
        </w:rPr>
      </w:pPr>
    </w:p>
    <w:p w:rsidR="003B2247" w:rsidRDefault="003B2247">
      <w:pPr>
        <w:adjustRightInd w:val="0"/>
        <w:snapToGrid w:val="0"/>
        <w:rPr>
          <w:spacing w:val="-4"/>
          <w:kern w:val="0"/>
          <w:sz w:val="32"/>
          <w:szCs w:val="32"/>
        </w:rPr>
      </w:pPr>
    </w:p>
    <w:p w:rsidR="003B2247" w:rsidRDefault="0026123D" w:rsidP="00157509">
      <w:pPr>
        <w:adjustRightInd w:val="0"/>
        <w:snapToGrid w:val="0"/>
        <w:spacing w:line="60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2022年，全市法院坚持以习近平新时代中国特色社会主义思想为指导，</w:t>
      </w:r>
      <w:r w:rsidR="00033A2D">
        <w:rPr>
          <w:rFonts w:ascii="仿宋" w:eastAsia="仿宋" w:hAnsi="仿宋" w:hint="eastAsia"/>
          <w:spacing w:val="-4"/>
          <w:sz w:val="32"/>
          <w:szCs w:val="32"/>
        </w:rPr>
        <w:t>深入学习贯彻党的二十大精神</w:t>
      </w:r>
      <w:r w:rsidRPr="00226FD0">
        <w:rPr>
          <w:rFonts w:ascii="仿宋" w:eastAsia="仿宋" w:hAnsi="仿宋" w:hint="eastAsia"/>
          <w:spacing w:val="-4"/>
          <w:sz w:val="32"/>
          <w:szCs w:val="32"/>
        </w:rPr>
        <w:t>，</w:t>
      </w:r>
      <w:r>
        <w:rPr>
          <w:rFonts w:ascii="仿宋" w:eastAsia="仿宋" w:hAnsi="仿宋" w:hint="eastAsia"/>
          <w:color w:val="000000"/>
          <w:spacing w:val="-4"/>
          <w:sz w:val="32"/>
          <w:szCs w:val="32"/>
        </w:rPr>
        <w:t>聚焦</w:t>
      </w:r>
      <w:r w:rsidR="00110F2D">
        <w:rPr>
          <w:rFonts w:ascii="仿宋" w:eastAsia="仿宋" w:hAnsi="仿宋" w:hint="eastAsia"/>
          <w:color w:val="000000"/>
          <w:spacing w:val="-4"/>
          <w:sz w:val="32"/>
          <w:szCs w:val="32"/>
        </w:rPr>
        <w:t>服务深化供给侧结构性改革</w:t>
      </w:r>
      <w:r>
        <w:rPr>
          <w:rFonts w:ascii="仿宋" w:eastAsia="仿宋" w:hAnsi="仿宋" w:hint="eastAsia"/>
          <w:color w:val="000000"/>
          <w:spacing w:val="-4"/>
          <w:sz w:val="32"/>
          <w:szCs w:val="32"/>
        </w:rPr>
        <w:t>，</w:t>
      </w:r>
      <w:r w:rsidR="00DC4B1A">
        <w:rPr>
          <w:rFonts w:ascii="仿宋" w:eastAsia="仿宋" w:hAnsi="仿宋" w:hint="eastAsia"/>
          <w:color w:val="000000"/>
          <w:spacing w:val="-4"/>
          <w:sz w:val="32"/>
          <w:szCs w:val="32"/>
        </w:rPr>
        <w:t>坚持</w:t>
      </w:r>
      <w:r>
        <w:rPr>
          <w:rFonts w:ascii="仿宋" w:eastAsia="仿宋" w:hAnsi="仿宋" w:hint="eastAsia"/>
          <w:color w:val="000000"/>
          <w:spacing w:val="-4"/>
          <w:sz w:val="32"/>
          <w:szCs w:val="32"/>
        </w:rPr>
        <w:t>市场化、法治化、专业化</w:t>
      </w:r>
      <w:r w:rsidR="00DC4B1A">
        <w:rPr>
          <w:rFonts w:ascii="仿宋" w:eastAsia="仿宋" w:hAnsi="仿宋" w:hint="eastAsia"/>
          <w:color w:val="000000"/>
          <w:spacing w:val="-4"/>
          <w:sz w:val="32"/>
          <w:szCs w:val="32"/>
        </w:rPr>
        <w:t>、信息化</w:t>
      </w:r>
      <w:r>
        <w:rPr>
          <w:rFonts w:ascii="仿宋" w:eastAsia="仿宋" w:hAnsi="仿宋" w:hint="eastAsia"/>
          <w:color w:val="000000"/>
          <w:spacing w:val="-4"/>
          <w:sz w:val="32"/>
          <w:szCs w:val="32"/>
        </w:rPr>
        <w:t>方向，健全完善破产审判机制，</w:t>
      </w:r>
      <w:r w:rsidR="00171499">
        <w:rPr>
          <w:rFonts w:ascii="仿宋" w:eastAsia="仿宋" w:hAnsi="仿宋" w:hint="eastAsia"/>
          <w:color w:val="000000"/>
          <w:spacing w:val="-4"/>
          <w:sz w:val="32"/>
          <w:szCs w:val="32"/>
        </w:rPr>
        <w:t>充分发挥破产审判在法治化营商环境建设中的</w:t>
      </w:r>
      <w:r w:rsidR="001C5A8E">
        <w:rPr>
          <w:rFonts w:ascii="仿宋" w:eastAsia="仿宋" w:hAnsi="仿宋" w:hint="eastAsia"/>
          <w:color w:val="000000"/>
          <w:spacing w:val="-4"/>
          <w:sz w:val="32"/>
          <w:szCs w:val="32"/>
        </w:rPr>
        <w:t>职能作用</w:t>
      </w:r>
      <w:r>
        <w:rPr>
          <w:rFonts w:ascii="仿宋" w:eastAsia="仿宋" w:hAnsi="仿宋" w:hint="eastAsia"/>
          <w:color w:val="000000"/>
          <w:spacing w:val="-4"/>
          <w:sz w:val="32"/>
          <w:szCs w:val="32"/>
        </w:rPr>
        <w:t>，为苏州</w:t>
      </w:r>
      <w:r w:rsidR="00DC4B1A" w:rsidRPr="00DC4B1A">
        <w:rPr>
          <w:rFonts w:ascii="仿宋" w:eastAsia="仿宋" w:hAnsi="仿宋" w:hint="eastAsia"/>
          <w:color w:val="000000"/>
          <w:spacing w:val="-4"/>
          <w:sz w:val="32"/>
          <w:szCs w:val="32"/>
        </w:rPr>
        <w:t>建设社会主义现代化强市</w:t>
      </w:r>
      <w:r>
        <w:rPr>
          <w:rFonts w:ascii="仿宋" w:eastAsia="仿宋" w:hAnsi="仿宋" w:hint="eastAsia"/>
          <w:color w:val="000000"/>
          <w:spacing w:val="-4"/>
          <w:sz w:val="32"/>
          <w:szCs w:val="32"/>
        </w:rPr>
        <w:t>提供有力司法保障。</w:t>
      </w:r>
    </w:p>
    <w:p w:rsidR="003B2247" w:rsidRDefault="0026123D" w:rsidP="00157509">
      <w:pPr>
        <w:adjustRightInd w:val="0"/>
        <w:snapToGrid w:val="0"/>
        <w:spacing w:line="600" w:lineRule="exact"/>
        <w:ind w:firstLineChars="200" w:firstLine="624"/>
        <w:rPr>
          <w:rFonts w:eastAsia="黑体"/>
          <w:color w:val="000000"/>
          <w:spacing w:val="-4"/>
          <w:sz w:val="32"/>
          <w:szCs w:val="32"/>
        </w:rPr>
      </w:pPr>
      <w:r>
        <w:rPr>
          <w:rFonts w:eastAsia="黑体"/>
          <w:color w:val="000000"/>
          <w:spacing w:val="-4"/>
          <w:sz w:val="32"/>
          <w:szCs w:val="32"/>
        </w:rPr>
        <w:t>一、破产审判基本情况</w:t>
      </w:r>
    </w:p>
    <w:p w:rsidR="003B2247" w:rsidRDefault="00773DAB" w:rsidP="00773DAB">
      <w:pPr>
        <w:adjustRightInd w:val="0"/>
        <w:snapToGrid w:val="0"/>
        <w:spacing w:line="600" w:lineRule="exact"/>
        <w:ind w:firstLineChars="200" w:firstLine="624"/>
        <w:rPr>
          <w:rFonts w:ascii="仿宋" w:eastAsia="仿宋" w:hAnsi="仿宋"/>
          <w:color w:val="000000"/>
          <w:spacing w:val="-4"/>
          <w:sz w:val="32"/>
          <w:szCs w:val="32"/>
        </w:rPr>
      </w:pPr>
      <w:r w:rsidRPr="00773DAB">
        <w:rPr>
          <w:rFonts w:ascii="仿宋" w:eastAsia="仿宋" w:hAnsi="仿宋" w:hint="eastAsia"/>
          <w:color w:val="000000"/>
          <w:spacing w:val="-4"/>
          <w:sz w:val="32"/>
          <w:szCs w:val="32"/>
        </w:rPr>
        <w:t>2022年，全市法院共审查申请破产及强制清算案件1175件，同比上升19.8%，其中普通破产申请审查案件504件、执行移送破产审查案件590件、强制清算申请审查案件81件。审查后裁定受理905件，同比上升21.2%，其中“执转破”案件535件，占比达59.12%，化解执行案件8365件。从地域分布来看，吴江、工业园区、昆山、常熟四家基层</w:t>
      </w:r>
      <w:r w:rsidR="00726E80">
        <w:rPr>
          <w:rFonts w:ascii="仿宋" w:eastAsia="仿宋" w:hAnsi="仿宋" w:hint="eastAsia"/>
          <w:color w:val="000000"/>
          <w:spacing w:val="-4"/>
          <w:sz w:val="32"/>
          <w:szCs w:val="32"/>
        </w:rPr>
        <w:t>人民</w:t>
      </w:r>
      <w:r w:rsidRPr="00773DAB">
        <w:rPr>
          <w:rFonts w:ascii="仿宋" w:eastAsia="仿宋" w:hAnsi="仿宋" w:hint="eastAsia"/>
          <w:color w:val="000000"/>
          <w:spacing w:val="-4"/>
          <w:sz w:val="32"/>
          <w:szCs w:val="32"/>
        </w:rPr>
        <w:t>法院审查和受理破产案件数量较多，合计审查案件数和受理案件数在全市占比均超过62%</w:t>
      </w:r>
      <w:r w:rsidR="004A6938">
        <w:rPr>
          <w:rFonts w:ascii="仿宋" w:eastAsia="仿宋" w:hAnsi="仿宋" w:hint="eastAsia"/>
          <w:color w:val="000000"/>
          <w:spacing w:val="-4"/>
          <w:sz w:val="32"/>
          <w:szCs w:val="32"/>
        </w:rPr>
        <w:t>（见图1、图2）</w:t>
      </w:r>
      <w:r w:rsidRPr="00773DAB">
        <w:rPr>
          <w:rFonts w:ascii="仿宋" w:eastAsia="仿宋" w:hAnsi="仿宋" w:hint="eastAsia"/>
          <w:color w:val="000000"/>
          <w:spacing w:val="-4"/>
          <w:sz w:val="32"/>
          <w:szCs w:val="32"/>
        </w:rPr>
        <w:t>。</w:t>
      </w:r>
    </w:p>
    <w:p w:rsidR="003B2247" w:rsidRDefault="0026123D">
      <w:pPr>
        <w:adjustRightInd w:val="0"/>
        <w:snapToGrid w:val="0"/>
        <w:spacing w:line="600" w:lineRule="exact"/>
        <w:ind w:firstLineChars="200" w:firstLine="624"/>
        <w:rPr>
          <w:rFonts w:ascii="楷体" w:eastAsia="楷体" w:hAnsi="楷体"/>
          <w:color w:val="000000"/>
          <w:spacing w:val="-4"/>
          <w:kern w:val="0"/>
          <w:sz w:val="32"/>
          <w:szCs w:val="32"/>
        </w:rPr>
      </w:pPr>
      <w:r>
        <w:rPr>
          <w:rFonts w:ascii="楷体" w:eastAsia="楷体" w:hAnsi="楷体" w:hint="eastAsia"/>
          <w:color w:val="000000"/>
          <w:spacing w:val="-4"/>
          <w:kern w:val="0"/>
          <w:sz w:val="32"/>
          <w:szCs w:val="32"/>
        </w:rPr>
        <w:t>图</w:t>
      </w:r>
      <w:r w:rsidR="00791B81">
        <w:rPr>
          <w:rFonts w:ascii="楷体" w:eastAsia="楷体" w:hAnsi="楷体" w:hint="eastAsia"/>
          <w:color w:val="000000"/>
          <w:spacing w:val="-4"/>
          <w:kern w:val="0"/>
          <w:sz w:val="32"/>
          <w:szCs w:val="32"/>
        </w:rPr>
        <w:t>1</w:t>
      </w:r>
      <w:r>
        <w:rPr>
          <w:rFonts w:ascii="楷体" w:eastAsia="楷体" w:hAnsi="楷体"/>
          <w:color w:val="000000"/>
          <w:spacing w:val="-4"/>
          <w:kern w:val="0"/>
          <w:sz w:val="32"/>
          <w:szCs w:val="32"/>
        </w:rPr>
        <w:t>：</w:t>
      </w:r>
      <w:r>
        <w:rPr>
          <w:rFonts w:ascii="楷体" w:eastAsia="楷体" w:hAnsi="楷体" w:hint="eastAsia"/>
          <w:color w:val="000000"/>
          <w:spacing w:val="-4"/>
          <w:kern w:val="0"/>
          <w:sz w:val="32"/>
          <w:szCs w:val="32"/>
        </w:rPr>
        <w:t>全市</w:t>
      </w:r>
      <w:r>
        <w:rPr>
          <w:rFonts w:ascii="楷体" w:eastAsia="楷体" w:hAnsi="楷体"/>
          <w:color w:val="000000"/>
          <w:spacing w:val="-4"/>
          <w:kern w:val="0"/>
          <w:sz w:val="32"/>
          <w:szCs w:val="32"/>
        </w:rPr>
        <w:t>法院202</w:t>
      </w:r>
      <w:r>
        <w:rPr>
          <w:rFonts w:ascii="楷体" w:eastAsia="楷体" w:hAnsi="楷体" w:hint="eastAsia"/>
          <w:color w:val="000000"/>
          <w:spacing w:val="-4"/>
          <w:kern w:val="0"/>
          <w:sz w:val="32"/>
          <w:szCs w:val="32"/>
        </w:rPr>
        <w:t>2</w:t>
      </w:r>
      <w:r>
        <w:rPr>
          <w:rFonts w:ascii="楷体" w:eastAsia="楷体" w:hAnsi="楷体"/>
          <w:color w:val="000000"/>
          <w:spacing w:val="-4"/>
          <w:kern w:val="0"/>
          <w:sz w:val="32"/>
          <w:szCs w:val="32"/>
        </w:rPr>
        <w:t>年审查申请破产及强制清算案件</w:t>
      </w:r>
      <w:r>
        <w:rPr>
          <w:rFonts w:ascii="楷体" w:eastAsia="楷体" w:hAnsi="楷体" w:hint="eastAsia"/>
          <w:color w:val="000000"/>
          <w:spacing w:val="-4"/>
          <w:kern w:val="0"/>
          <w:sz w:val="32"/>
          <w:szCs w:val="32"/>
        </w:rPr>
        <w:t>数</w:t>
      </w:r>
      <w:r w:rsidR="00111A09">
        <w:rPr>
          <w:rFonts w:ascii="楷体" w:eastAsia="楷体" w:hAnsi="楷体" w:hint="eastAsia"/>
          <w:color w:val="000000"/>
          <w:spacing w:val="-4"/>
          <w:kern w:val="0"/>
          <w:sz w:val="32"/>
          <w:szCs w:val="32"/>
        </w:rPr>
        <w:t>及</w:t>
      </w:r>
      <w:r>
        <w:rPr>
          <w:rFonts w:ascii="楷体" w:eastAsia="楷体" w:hAnsi="楷体" w:hint="eastAsia"/>
          <w:color w:val="000000"/>
          <w:spacing w:val="-4"/>
          <w:kern w:val="0"/>
          <w:sz w:val="32"/>
          <w:szCs w:val="32"/>
        </w:rPr>
        <w:t>占比</w:t>
      </w:r>
    </w:p>
    <w:p w:rsidR="003B2247" w:rsidRDefault="0026123D">
      <w:pPr>
        <w:adjustRightInd w:val="0"/>
        <w:snapToGrid w:val="0"/>
        <w:jc w:val="center"/>
        <w:rPr>
          <w:sz w:val="32"/>
          <w:szCs w:val="32"/>
        </w:rPr>
      </w:pPr>
      <w:r>
        <w:rPr>
          <w:rFonts w:hint="eastAsia"/>
          <w:noProof/>
          <w:sz w:val="32"/>
          <w:szCs w:val="32"/>
        </w:rPr>
        <w:lastRenderedPageBreak/>
        <w:drawing>
          <wp:inline distT="0" distB="0" distL="114300" distR="114300" wp14:anchorId="0074B163" wp14:editId="17C5D877">
            <wp:extent cx="5092700" cy="3822700"/>
            <wp:effectExtent l="0" t="0" r="0" b="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8"/>
                    <a:stretch>
                      <a:fillRect/>
                    </a:stretch>
                  </pic:blipFill>
                  <pic:spPr>
                    <a:xfrm>
                      <a:off x="0" y="0"/>
                      <a:ext cx="5092700" cy="3822700"/>
                    </a:xfrm>
                    <a:prstGeom prst="rect">
                      <a:avLst/>
                    </a:prstGeom>
                  </pic:spPr>
                </pic:pic>
              </a:graphicData>
            </a:graphic>
          </wp:inline>
        </w:drawing>
      </w:r>
    </w:p>
    <w:p w:rsidR="00111A09" w:rsidRDefault="00111A09">
      <w:pPr>
        <w:adjustRightInd w:val="0"/>
        <w:snapToGrid w:val="0"/>
        <w:jc w:val="center"/>
        <w:rPr>
          <w:sz w:val="32"/>
          <w:szCs w:val="32"/>
        </w:rPr>
      </w:pPr>
      <w:r>
        <w:rPr>
          <w:noProof/>
          <w:sz w:val="32"/>
          <w:szCs w:val="32"/>
        </w:rPr>
        <w:drawing>
          <wp:inline distT="0" distB="0" distL="0" distR="0" wp14:anchorId="1C0E1B3C" wp14:editId="64378F25">
            <wp:extent cx="5089525" cy="3821430"/>
            <wp:effectExtent l="0" t="0" r="0" b="7620"/>
            <wp:docPr id="4" name="图片 4" descr="D:\Users\Administrator\Desktop\饼图-审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Administrator\Desktop\饼图-审查.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9525" cy="3821430"/>
                    </a:xfrm>
                    <a:prstGeom prst="rect">
                      <a:avLst/>
                    </a:prstGeom>
                    <a:noFill/>
                    <a:ln>
                      <a:noFill/>
                    </a:ln>
                  </pic:spPr>
                </pic:pic>
              </a:graphicData>
            </a:graphic>
          </wp:inline>
        </w:drawing>
      </w:r>
    </w:p>
    <w:p w:rsidR="00ED5118" w:rsidRDefault="00ED5118">
      <w:pPr>
        <w:adjustRightInd w:val="0"/>
        <w:snapToGrid w:val="0"/>
        <w:spacing w:line="600" w:lineRule="exact"/>
        <w:ind w:firstLineChars="200" w:firstLine="624"/>
        <w:rPr>
          <w:rFonts w:ascii="楷体" w:eastAsia="楷体" w:hAnsi="楷体"/>
          <w:color w:val="000000"/>
          <w:spacing w:val="-4"/>
          <w:kern w:val="0"/>
          <w:sz w:val="32"/>
          <w:szCs w:val="32"/>
        </w:rPr>
      </w:pPr>
    </w:p>
    <w:p w:rsidR="00ED5118" w:rsidRDefault="00ED5118">
      <w:pPr>
        <w:adjustRightInd w:val="0"/>
        <w:snapToGrid w:val="0"/>
        <w:spacing w:line="600" w:lineRule="exact"/>
        <w:ind w:firstLineChars="200" w:firstLine="624"/>
        <w:rPr>
          <w:rFonts w:ascii="楷体" w:eastAsia="楷体" w:hAnsi="楷体"/>
          <w:color w:val="000000"/>
          <w:spacing w:val="-4"/>
          <w:kern w:val="0"/>
          <w:sz w:val="32"/>
          <w:szCs w:val="32"/>
        </w:rPr>
      </w:pPr>
    </w:p>
    <w:p w:rsidR="003B2247" w:rsidRDefault="0026123D">
      <w:pPr>
        <w:adjustRightInd w:val="0"/>
        <w:snapToGrid w:val="0"/>
        <w:spacing w:line="600" w:lineRule="exact"/>
        <w:ind w:firstLineChars="200" w:firstLine="624"/>
        <w:rPr>
          <w:rFonts w:ascii="楷体" w:eastAsia="楷体" w:hAnsi="楷体"/>
          <w:color w:val="000000"/>
          <w:spacing w:val="-4"/>
          <w:kern w:val="0"/>
          <w:sz w:val="32"/>
          <w:szCs w:val="32"/>
        </w:rPr>
      </w:pPr>
      <w:r>
        <w:rPr>
          <w:rFonts w:ascii="楷体" w:eastAsia="楷体" w:hAnsi="楷体" w:hint="eastAsia"/>
          <w:color w:val="000000"/>
          <w:spacing w:val="-4"/>
          <w:kern w:val="0"/>
          <w:sz w:val="32"/>
          <w:szCs w:val="32"/>
        </w:rPr>
        <w:lastRenderedPageBreak/>
        <w:t>图</w:t>
      </w:r>
      <w:r w:rsidR="00791B81">
        <w:rPr>
          <w:rFonts w:ascii="楷体" w:eastAsia="楷体" w:hAnsi="楷体" w:hint="eastAsia"/>
          <w:color w:val="000000"/>
          <w:spacing w:val="-4"/>
          <w:kern w:val="0"/>
          <w:sz w:val="32"/>
          <w:szCs w:val="32"/>
        </w:rPr>
        <w:t>2</w:t>
      </w:r>
      <w:r>
        <w:rPr>
          <w:rFonts w:ascii="楷体" w:eastAsia="楷体" w:hAnsi="楷体"/>
          <w:color w:val="000000"/>
          <w:spacing w:val="-4"/>
          <w:kern w:val="0"/>
          <w:sz w:val="32"/>
          <w:szCs w:val="32"/>
        </w:rPr>
        <w:t>：</w:t>
      </w:r>
      <w:r>
        <w:rPr>
          <w:rFonts w:ascii="楷体" w:eastAsia="楷体" w:hAnsi="楷体" w:hint="eastAsia"/>
          <w:color w:val="000000"/>
          <w:spacing w:val="-4"/>
          <w:kern w:val="0"/>
          <w:sz w:val="32"/>
          <w:szCs w:val="32"/>
        </w:rPr>
        <w:t>全市</w:t>
      </w:r>
      <w:r>
        <w:rPr>
          <w:rFonts w:ascii="楷体" w:eastAsia="楷体" w:hAnsi="楷体"/>
          <w:color w:val="000000"/>
          <w:spacing w:val="-4"/>
          <w:kern w:val="0"/>
          <w:sz w:val="32"/>
          <w:szCs w:val="32"/>
        </w:rPr>
        <w:t>法院202</w:t>
      </w:r>
      <w:r>
        <w:rPr>
          <w:rFonts w:ascii="楷体" w:eastAsia="楷体" w:hAnsi="楷体" w:hint="eastAsia"/>
          <w:color w:val="000000"/>
          <w:spacing w:val="-4"/>
          <w:kern w:val="0"/>
          <w:sz w:val="32"/>
          <w:szCs w:val="32"/>
        </w:rPr>
        <w:t>2</w:t>
      </w:r>
      <w:r>
        <w:rPr>
          <w:rFonts w:ascii="楷体" w:eastAsia="楷体" w:hAnsi="楷体"/>
          <w:color w:val="000000"/>
          <w:spacing w:val="-4"/>
          <w:kern w:val="0"/>
          <w:sz w:val="32"/>
          <w:szCs w:val="32"/>
        </w:rPr>
        <w:t>年受理破产</w:t>
      </w:r>
      <w:r>
        <w:rPr>
          <w:rFonts w:ascii="楷体" w:eastAsia="楷体" w:hAnsi="楷体" w:hint="eastAsia"/>
          <w:color w:val="000000"/>
          <w:spacing w:val="-4"/>
          <w:kern w:val="0"/>
          <w:sz w:val="32"/>
          <w:szCs w:val="32"/>
        </w:rPr>
        <w:t>及强制清算</w:t>
      </w:r>
      <w:r>
        <w:rPr>
          <w:rFonts w:ascii="楷体" w:eastAsia="楷体" w:hAnsi="楷体"/>
          <w:color w:val="000000"/>
          <w:spacing w:val="-4"/>
          <w:kern w:val="0"/>
          <w:sz w:val="32"/>
          <w:szCs w:val="32"/>
        </w:rPr>
        <w:t>案件</w:t>
      </w:r>
      <w:r>
        <w:rPr>
          <w:rFonts w:ascii="楷体" w:eastAsia="楷体" w:hAnsi="楷体" w:hint="eastAsia"/>
          <w:color w:val="000000"/>
          <w:spacing w:val="-4"/>
          <w:kern w:val="0"/>
          <w:sz w:val="32"/>
          <w:szCs w:val="32"/>
        </w:rPr>
        <w:t>数</w:t>
      </w:r>
      <w:r w:rsidR="00111A09">
        <w:rPr>
          <w:rFonts w:ascii="楷体" w:eastAsia="楷体" w:hAnsi="楷体" w:hint="eastAsia"/>
          <w:color w:val="000000"/>
          <w:spacing w:val="-4"/>
          <w:kern w:val="0"/>
          <w:sz w:val="32"/>
          <w:szCs w:val="32"/>
        </w:rPr>
        <w:t>及</w:t>
      </w:r>
      <w:r>
        <w:rPr>
          <w:rFonts w:ascii="楷体" w:eastAsia="楷体" w:hAnsi="楷体" w:hint="eastAsia"/>
          <w:color w:val="000000"/>
          <w:spacing w:val="-4"/>
          <w:kern w:val="0"/>
          <w:sz w:val="32"/>
          <w:szCs w:val="32"/>
        </w:rPr>
        <w:t>占比</w:t>
      </w:r>
    </w:p>
    <w:p w:rsidR="003B2247" w:rsidRDefault="003B2247">
      <w:pPr>
        <w:adjustRightInd w:val="0"/>
        <w:snapToGrid w:val="0"/>
        <w:jc w:val="center"/>
        <w:rPr>
          <w:color w:val="FF0000"/>
          <w:spacing w:val="-4"/>
          <w:sz w:val="32"/>
          <w:szCs w:val="32"/>
        </w:rPr>
      </w:pPr>
    </w:p>
    <w:p w:rsidR="00111A09" w:rsidRDefault="00111A09">
      <w:pPr>
        <w:adjustRightInd w:val="0"/>
        <w:snapToGrid w:val="0"/>
        <w:jc w:val="center"/>
        <w:rPr>
          <w:color w:val="FF0000"/>
          <w:spacing w:val="-4"/>
          <w:sz w:val="32"/>
          <w:szCs w:val="32"/>
        </w:rPr>
      </w:pPr>
      <w:r w:rsidRPr="00157509">
        <w:rPr>
          <w:noProof/>
          <w:color w:val="FF0000"/>
          <w:spacing w:val="-4"/>
          <w:sz w:val="32"/>
          <w:szCs w:val="32"/>
        </w:rPr>
        <w:drawing>
          <wp:inline distT="0" distB="0" distL="0" distR="0" wp14:anchorId="5CDA6589" wp14:editId="417626FD">
            <wp:extent cx="5158740" cy="3830320"/>
            <wp:effectExtent l="0" t="0" r="3810" b="0"/>
            <wp:docPr id="1" name="图片 1" descr="D:\Users\Administrator\Desktop\裁定受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esktop\裁定受理.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740" cy="3830320"/>
                    </a:xfrm>
                    <a:prstGeom prst="rect">
                      <a:avLst/>
                    </a:prstGeom>
                    <a:noFill/>
                    <a:ln>
                      <a:noFill/>
                    </a:ln>
                  </pic:spPr>
                </pic:pic>
              </a:graphicData>
            </a:graphic>
          </wp:inline>
        </w:drawing>
      </w:r>
    </w:p>
    <w:p w:rsidR="00111A09" w:rsidRDefault="00111A09">
      <w:pPr>
        <w:adjustRightInd w:val="0"/>
        <w:snapToGrid w:val="0"/>
        <w:jc w:val="center"/>
        <w:rPr>
          <w:color w:val="FF0000"/>
          <w:spacing w:val="-4"/>
          <w:sz w:val="32"/>
          <w:szCs w:val="32"/>
        </w:rPr>
      </w:pPr>
      <w:r>
        <w:rPr>
          <w:noProof/>
          <w:color w:val="FF0000"/>
          <w:spacing w:val="-4"/>
          <w:sz w:val="32"/>
          <w:szCs w:val="32"/>
        </w:rPr>
        <w:drawing>
          <wp:inline distT="0" distB="0" distL="0" distR="0" wp14:anchorId="4A4B4B5E" wp14:editId="459721E0">
            <wp:extent cx="5089525" cy="3821430"/>
            <wp:effectExtent l="0" t="0" r="0" b="7620"/>
            <wp:docPr id="5" name="图片 5" descr="D:\Users\Administrator\Desktop\饼图-受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Administrator\Desktop\饼图-受理.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9525" cy="3821430"/>
                    </a:xfrm>
                    <a:prstGeom prst="rect">
                      <a:avLst/>
                    </a:prstGeom>
                    <a:noFill/>
                    <a:ln>
                      <a:noFill/>
                    </a:ln>
                  </pic:spPr>
                </pic:pic>
              </a:graphicData>
            </a:graphic>
          </wp:inline>
        </w:drawing>
      </w:r>
    </w:p>
    <w:p w:rsidR="003B2247" w:rsidRDefault="00773DAB" w:rsidP="00157509">
      <w:pPr>
        <w:adjustRightInd w:val="0"/>
        <w:snapToGrid w:val="0"/>
        <w:spacing w:line="600" w:lineRule="exact"/>
        <w:ind w:firstLineChars="200" w:firstLine="624"/>
        <w:rPr>
          <w:rFonts w:ascii="仿宋" w:eastAsia="仿宋" w:hAnsi="仿宋"/>
          <w:color w:val="000000"/>
          <w:spacing w:val="-4"/>
          <w:sz w:val="32"/>
          <w:szCs w:val="32"/>
        </w:rPr>
      </w:pPr>
      <w:r w:rsidRPr="00773DAB">
        <w:rPr>
          <w:rFonts w:ascii="仿宋" w:eastAsia="仿宋" w:hAnsi="仿宋" w:hint="eastAsia"/>
          <w:color w:val="000000"/>
          <w:spacing w:val="-4"/>
          <w:sz w:val="32"/>
          <w:szCs w:val="32"/>
        </w:rPr>
        <w:lastRenderedPageBreak/>
        <w:t>2022年，全市法院共审结破产及强制清算案件777件，同比上升24.92%</w:t>
      </w:r>
      <w:r>
        <w:rPr>
          <w:rFonts w:ascii="仿宋" w:eastAsia="仿宋" w:hAnsi="仿宋" w:hint="eastAsia"/>
          <w:color w:val="000000"/>
          <w:spacing w:val="-4"/>
          <w:sz w:val="32"/>
          <w:szCs w:val="32"/>
        </w:rPr>
        <w:t>，</w:t>
      </w:r>
      <w:r w:rsidRPr="00773DAB">
        <w:rPr>
          <w:rFonts w:ascii="仿宋" w:eastAsia="仿宋" w:hAnsi="仿宋" w:hint="eastAsia"/>
          <w:color w:val="000000"/>
          <w:spacing w:val="-4"/>
          <w:sz w:val="32"/>
          <w:szCs w:val="32"/>
        </w:rPr>
        <w:t>其中“执转破”案件405件，占比52.12%。</w:t>
      </w:r>
      <w:r w:rsidR="00AB03F1">
        <w:rPr>
          <w:rFonts w:ascii="仿宋" w:eastAsia="仿宋" w:hAnsi="仿宋" w:hint="eastAsia"/>
          <w:color w:val="000000"/>
          <w:spacing w:val="-4"/>
          <w:sz w:val="32"/>
          <w:szCs w:val="32"/>
        </w:rPr>
        <w:t>处置</w:t>
      </w:r>
      <w:r w:rsidRPr="00773DAB">
        <w:rPr>
          <w:rFonts w:ascii="仿宋" w:eastAsia="仿宋" w:hAnsi="仿宋" w:hint="eastAsia"/>
          <w:color w:val="000000"/>
          <w:spacing w:val="-4"/>
          <w:sz w:val="32"/>
          <w:szCs w:val="32"/>
        </w:rPr>
        <w:t>债权</w:t>
      </w:r>
      <w:r w:rsidRPr="00531599">
        <w:rPr>
          <w:rFonts w:ascii="仿宋" w:eastAsia="仿宋" w:hAnsi="仿宋"/>
          <w:color w:val="000000"/>
          <w:spacing w:val="-4"/>
          <w:sz w:val="32"/>
          <w:szCs w:val="32"/>
        </w:rPr>
        <w:t>671.99亿元</w:t>
      </w:r>
      <w:r w:rsidRPr="00773DAB">
        <w:rPr>
          <w:rFonts w:ascii="仿宋" w:eastAsia="仿宋" w:hAnsi="仿宋" w:hint="eastAsia"/>
          <w:color w:val="000000"/>
          <w:spacing w:val="-4"/>
          <w:sz w:val="32"/>
          <w:szCs w:val="32"/>
        </w:rPr>
        <w:t>，盘活土地、房产450.9</w:t>
      </w:r>
      <w:r>
        <w:rPr>
          <w:rFonts w:ascii="仿宋" w:eastAsia="仿宋" w:hAnsi="仿宋" w:hint="eastAsia"/>
          <w:color w:val="000000"/>
          <w:spacing w:val="-4"/>
          <w:sz w:val="32"/>
          <w:szCs w:val="32"/>
        </w:rPr>
        <w:t>万平方米，安置</w:t>
      </w:r>
      <w:r w:rsidRPr="00773DAB">
        <w:rPr>
          <w:rFonts w:ascii="仿宋" w:eastAsia="仿宋" w:hAnsi="仿宋" w:hint="eastAsia"/>
          <w:color w:val="000000"/>
          <w:spacing w:val="-4"/>
          <w:sz w:val="32"/>
          <w:szCs w:val="32"/>
        </w:rPr>
        <w:t>分流职工</w:t>
      </w:r>
      <w:r w:rsidRPr="00531599">
        <w:rPr>
          <w:rFonts w:ascii="仿宋" w:eastAsia="仿宋" w:hAnsi="仿宋"/>
          <w:color w:val="000000"/>
          <w:spacing w:val="-4"/>
          <w:sz w:val="32"/>
          <w:szCs w:val="32"/>
        </w:rPr>
        <w:t>7630</w:t>
      </w:r>
      <w:r w:rsidRPr="009F6D62">
        <w:rPr>
          <w:rFonts w:ascii="仿宋" w:eastAsia="仿宋" w:hAnsi="仿宋"/>
          <w:color w:val="000000"/>
          <w:spacing w:val="-4"/>
          <w:sz w:val="32"/>
          <w:szCs w:val="32"/>
        </w:rPr>
        <w:t>名</w:t>
      </w:r>
      <w:r w:rsidR="004A6938">
        <w:rPr>
          <w:rFonts w:ascii="仿宋" w:eastAsia="仿宋" w:hAnsi="仿宋" w:hint="eastAsia"/>
          <w:color w:val="000000"/>
          <w:spacing w:val="-4"/>
          <w:sz w:val="32"/>
          <w:szCs w:val="32"/>
        </w:rPr>
        <w:t>（见图3）</w:t>
      </w:r>
      <w:r w:rsidR="0026123D">
        <w:rPr>
          <w:rFonts w:ascii="仿宋" w:eastAsia="仿宋" w:hAnsi="仿宋"/>
          <w:color w:val="000000"/>
          <w:spacing w:val="-4"/>
          <w:sz w:val="32"/>
          <w:szCs w:val="32"/>
        </w:rPr>
        <w:t>。</w:t>
      </w:r>
    </w:p>
    <w:p w:rsidR="003B2247" w:rsidRPr="00157509" w:rsidRDefault="0026123D">
      <w:pPr>
        <w:adjustRightInd w:val="0"/>
        <w:snapToGrid w:val="0"/>
        <w:spacing w:beforeLines="50" w:before="190"/>
        <w:jc w:val="center"/>
        <w:rPr>
          <w:rFonts w:ascii="楷体" w:eastAsia="楷体" w:hAnsi="楷体"/>
          <w:spacing w:val="-4"/>
          <w:kern w:val="0"/>
          <w:sz w:val="32"/>
          <w:szCs w:val="32"/>
        </w:rPr>
      </w:pPr>
      <w:r w:rsidRPr="00157509">
        <w:rPr>
          <w:rFonts w:ascii="楷体" w:eastAsia="楷体" w:hAnsi="楷体" w:hint="eastAsia"/>
          <w:spacing w:val="-4"/>
          <w:kern w:val="0"/>
          <w:sz w:val="32"/>
          <w:szCs w:val="32"/>
        </w:rPr>
        <w:t>图</w:t>
      </w:r>
      <w:r w:rsidR="00791B81">
        <w:rPr>
          <w:rFonts w:ascii="楷体" w:eastAsia="楷体" w:hAnsi="楷体" w:hint="eastAsia"/>
          <w:spacing w:val="-4"/>
          <w:kern w:val="0"/>
          <w:sz w:val="32"/>
          <w:szCs w:val="32"/>
        </w:rPr>
        <w:t>3</w:t>
      </w:r>
      <w:r w:rsidRPr="00157509">
        <w:rPr>
          <w:rFonts w:ascii="楷体" w:eastAsia="楷体" w:hAnsi="楷体" w:hint="eastAsia"/>
          <w:spacing w:val="-4"/>
          <w:kern w:val="0"/>
          <w:sz w:val="32"/>
          <w:szCs w:val="32"/>
        </w:rPr>
        <w:t>：全市法院202</w:t>
      </w:r>
      <w:r w:rsidRPr="00157509">
        <w:rPr>
          <w:rFonts w:ascii="楷体" w:eastAsia="楷体" w:hAnsi="楷体"/>
          <w:spacing w:val="-4"/>
          <w:kern w:val="0"/>
          <w:sz w:val="32"/>
          <w:szCs w:val="32"/>
        </w:rPr>
        <w:t>2</w:t>
      </w:r>
      <w:r w:rsidRPr="00157509">
        <w:rPr>
          <w:rFonts w:ascii="楷体" w:eastAsia="楷体" w:hAnsi="楷体" w:hint="eastAsia"/>
          <w:spacing w:val="-4"/>
          <w:kern w:val="0"/>
          <w:sz w:val="32"/>
          <w:szCs w:val="32"/>
        </w:rPr>
        <w:t>年审结破产及强制清算案件</w:t>
      </w:r>
      <w:r w:rsidR="00111A09">
        <w:rPr>
          <w:rFonts w:ascii="楷体" w:eastAsia="楷体" w:hAnsi="楷体" w:hint="eastAsia"/>
          <w:spacing w:val="-4"/>
          <w:kern w:val="0"/>
          <w:sz w:val="32"/>
          <w:szCs w:val="32"/>
        </w:rPr>
        <w:t>数及占比</w:t>
      </w:r>
    </w:p>
    <w:p w:rsidR="003B2247" w:rsidRDefault="003B2247">
      <w:pPr>
        <w:adjustRightInd w:val="0"/>
        <w:snapToGrid w:val="0"/>
        <w:jc w:val="center"/>
        <w:rPr>
          <w:spacing w:val="-4"/>
          <w:sz w:val="32"/>
          <w:szCs w:val="32"/>
        </w:rPr>
      </w:pPr>
    </w:p>
    <w:p w:rsidR="00111A09" w:rsidRDefault="00111A09">
      <w:pPr>
        <w:adjustRightInd w:val="0"/>
        <w:snapToGrid w:val="0"/>
        <w:jc w:val="center"/>
        <w:rPr>
          <w:spacing w:val="-4"/>
          <w:sz w:val="32"/>
          <w:szCs w:val="32"/>
        </w:rPr>
      </w:pPr>
      <w:r w:rsidRPr="00157509">
        <w:rPr>
          <w:noProof/>
          <w:spacing w:val="-4"/>
          <w:sz w:val="32"/>
          <w:szCs w:val="32"/>
        </w:rPr>
        <w:drawing>
          <wp:inline distT="0" distB="0" distL="0" distR="0" wp14:anchorId="5DC18ACB" wp14:editId="64F67FEF">
            <wp:extent cx="5477510" cy="3864610"/>
            <wp:effectExtent l="0" t="0" r="8890" b="2540"/>
            <wp:docPr id="2" name="图片 2" descr="D:\Users\Administrator\Desktop\审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dministrator\Desktop\审结.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7510" cy="3864610"/>
                    </a:xfrm>
                    <a:prstGeom prst="rect">
                      <a:avLst/>
                    </a:prstGeom>
                    <a:noFill/>
                    <a:ln>
                      <a:noFill/>
                    </a:ln>
                  </pic:spPr>
                </pic:pic>
              </a:graphicData>
            </a:graphic>
          </wp:inline>
        </w:drawing>
      </w:r>
    </w:p>
    <w:p w:rsidR="00111A09" w:rsidRDefault="002F18A0">
      <w:pPr>
        <w:adjustRightInd w:val="0"/>
        <w:snapToGrid w:val="0"/>
        <w:jc w:val="center"/>
        <w:rPr>
          <w:spacing w:val="-4"/>
          <w:sz w:val="32"/>
          <w:szCs w:val="32"/>
        </w:rPr>
      </w:pPr>
      <w:r>
        <w:rPr>
          <w:noProof/>
          <w:spacing w:val="-4"/>
          <w:sz w:val="32"/>
          <w:szCs w:val="32"/>
        </w:rPr>
        <w:lastRenderedPageBreak/>
        <w:drawing>
          <wp:inline distT="0" distB="0" distL="0" distR="0" wp14:anchorId="691DA515" wp14:editId="3152F377">
            <wp:extent cx="5477510" cy="3864610"/>
            <wp:effectExtent l="0" t="0" r="8890" b="2540"/>
            <wp:docPr id="6" name="图片 6" descr="D:\Users\Administrator\Desktop\饼图-审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Administrator\Desktop\饼图-审结.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7510" cy="3864610"/>
                    </a:xfrm>
                    <a:prstGeom prst="rect">
                      <a:avLst/>
                    </a:prstGeom>
                    <a:noFill/>
                    <a:ln>
                      <a:noFill/>
                    </a:ln>
                  </pic:spPr>
                </pic:pic>
              </a:graphicData>
            </a:graphic>
          </wp:inline>
        </w:drawing>
      </w:r>
    </w:p>
    <w:p w:rsidR="003B2247" w:rsidRDefault="00DC4B1A" w:rsidP="00157509">
      <w:pPr>
        <w:adjustRightInd w:val="0"/>
        <w:snapToGrid w:val="0"/>
        <w:spacing w:line="60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随着我市</w:t>
      </w:r>
      <w:r w:rsidR="0026123D">
        <w:rPr>
          <w:rFonts w:ascii="仿宋" w:eastAsia="仿宋" w:hAnsi="仿宋" w:hint="eastAsia"/>
          <w:color w:val="000000"/>
          <w:spacing w:val="-4"/>
          <w:sz w:val="32"/>
          <w:szCs w:val="32"/>
        </w:rPr>
        <w:t>营商环境持续优化，市场</w:t>
      </w:r>
      <w:r w:rsidR="00F90ACE">
        <w:rPr>
          <w:rFonts w:ascii="仿宋" w:eastAsia="仿宋" w:hAnsi="仿宋" w:hint="eastAsia"/>
          <w:color w:val="000000"/>
          <w:spacing w:val="-4"/>
          <w:sz w:val="32"/>
          <w:szCs w:val="32"/>
        </w:rPr>
        <w:t>主体</w:t>
      </w:r>
      <w:r w:rsidR="0026123D">
        <w:rPr>
          <w:rFonts w:ascii="仿宋" w:eastAsia="仿宋" w:hAnsi="仿宋" w:hint="eastAsia"/>
          <w:color w:val="000000"/>
          <w:spacing w:val="-4"/>
          <w:sz w:val="32"/>
          <w:szCs w:val="32"/>
        </w:rPr>
        <w:t>退出机制逐步完善，</w:t>
      </w:r>
      <w:r>
        <w:rPr>
          <w:rFonts w:ascii="仿宋" w:eastAsia="仿宋" w:hAnsi="仿宋" w:hint="eastAsia"/>
          <w:color w:val="000000"/>
          <w:spacing w:val="-4"/>
          <w:sz w:val="32"/>
          <w:szCs w:val="32"/>
        </w:rPr>
        <w:t>全市</w:t>
      </w:r>
      <w:r w:rsidR="0026123D">
        <w:rPr>
          <w:rFonts w:ascii="仿宋" w:eastAsia="仿宋" w:hAnsi="仿宋" w:hint="eastAsia"/>
          <w:color w:val="000000"/>
          <w:spacing w:val="-4"/>
          <w:sz w:val="32"/>
          <w:szCs w:val="32"/>
        </w:rPr>
        <w:t>法院审理破产及强制清算案件</w:t>
      </w:r>
      <w:r w:rsidR="00AB03F1">
        <w:rPr>
          <w:rFonts w:ascii="仿宋" w:eastAsia="仿宋" w:hAnsi="仿宋" w:hint="eastAsia"/>
          <w:color w:val="000000"/>
          <w:spacing w:val="-4"/>
          <w:sz w:val="32"/>
          <w:szCs w:val="32"/>
        </w:rPr>
        <w:t>数量</w:t>
      </w:r>
      <w:r w:rsidR="0026123D">
        <w:rPr>
          <w:rFonts w:ascii="仿宋" w:eastAsia="仿宋" w:hAnsi="仿宋" w:hint="eastAsia"/>
          <w:color w:val="000000"/>
          <w:spacing w:val="-4"/>
          <w:sz w:val="32"/>
          <w:szCs w:val="32"/>
        </w:rPr>
        <w:t>逐年上升。2</w:t>
      </w:r>
      <w:r w:rsidR="0026123D">
        <w:rPr>
          <w:rFonts w:ascii="仿宋" w:eastAsia="仿宋" w:hAnsi="仿宋"/>
          <w:color w:val="000000"/>
          <w:spacing w:val="-4"/>
          <w:sz w:val="32"/>
          <w:szCs w:val="32"/>
        </w:rPr>
        <w:t>01</w:t>
      </w:r>
      <w:r w:rsidR="0026123D">
        <w:rPr>
          <w:rFonts w:ascii="仿宋" w:eastAsia="仿宋" w:hAnsi="仿宋" w:hint="eastAsia"/>
          <w:color w:val="000000"/>
          <w:spacing w:val="-4"/>
          <w:sz w:val="32"/>
          <w:szCs w:val="32"/>
        </w:rPr>
        <w:t>8至2</w:t>
      </w:r>
      <w:r w:rsidR="0026123D">
        <w:rPr>
          <w:rFonts w:ascii="仿宋" w:eastAsia="仿宋" w:hAnsi="仿宋"/>
          <w:color w:val="000000"/>
          <w:spacing w:val="-4"/>
          <w:sz w:val="32"/>
          <w:szCs w:val="32"/>
        </w:rPr>
        <w:t>02</w:t>
      </w:r>
      <w:r w:rsidR="0026123D">
        <w:rPr>
          <w:rFonts w:ascii="仿宋" w:eastAsia="仿宋" w:hAnsi="仿宋" w:hint="eastAsia"/>
          <w:color w:val="000000"/>
          <w:spacing w:val="-4"/>
          <w:sz w:val="32"/>
          <w:szCs w:val="32"/>
        </w:rPr>
        <w:t>2年，破产及强制清算审查申请案件数、受理数、审结数平</w:t>
      </w:r>
      <w:r w:rsidR="0026123D" w:rsidRPr="00773DAB">
        <w:rPr>
          <w:rFonts w:ascii="仿宋" w:eastAsia="仿宋" w:hAnsi="仿宋" w:hint="eastAsia"/>
          <w:color w:val="000000"/>
          <w:spacing w:val="-4"/>
          <w:sz w:val="32"/>
          <w:szCs w:val="32"/>
        </w:rPr>
        <w:t>均年增长率</w:t>
      </w:r>
      <w:r w:rsidR="0026123D">
        <w:rPr>
          <w:rFonts w:ascii="仿宋" w:eastAsia="仿宋" w:hAnsi="仿宋" w:hint="eastAsia"/>
          <w:color w:val="000000"/>
          <w:spacing w:val="-4"/>
          <w:sz w:val="32"/>
          <w:szCs w:val="32"/>
        </w:rPr>
        <w:t>分别为</w:t>
      </w:r>
      <w:r w:rsidR="00127359">
        <w:rPr>
          <w:rFonts w:ascii="仿宋" w:eastAsia="仿宋" w:hAnsi="仿宋" w:hint="eastAsia"/>
          <w:spacing w:val="-4"/>
          <w:sz w:val="32"/>
          <w:szCs w:val="32"/>
        </w:rPr>
        <w:t>27.76</w:t>
      </w:r>
      <w:r w:rsidR="0026123D">
        <w:rPr>
          <w:rFonts w:ascii="仿宋" w:eastAsia="仿宋" w:hAnsi="仿宋" w:hint="eastAsia"/>
          <w:spacing w:val="-4"/>
          <w:sz w:val="32"/>
          <w:szCs w:val="32"/>
        </w:rPr>
        <w:t>%、</w:t>
      </w:r>
      <w:r w:rsidR="00127359">
        <w:rPr>
          <w:rFonts w:ascii="仿宋" w:eastAsia="仿宋" w:hAnsi="仿宋" w:hint="eastAsia"/>
          <w:spacing w:val="-4"/>
          <w:sz w:val="32"/>
          <w:szCs w:val="32"/>
        </w:rPr>
        <w:t>33.84</w:t>
      </w:r>
      <w:r w:rsidR="0026123D">
        <w:rPr>
          <w:rFonts w:ascii="仿宋" w:eastAsia="仿宋" w:hAnsi="仿宋" w:hint="eastAsia"/>
          <w:spacing w:val="-4"/>
          <w:sz w:val="32"/>
          <w:szCs w:val="32"/>
        </w:rPr>
        <w:t>%、</w:t>
      </w:r>
      <w:r w:rsidR="00127359">
        <w:rPr>
          <w:rFonts w:ascii="仿宋" w:eastAsia="仿宋" w:hAnsi="仿宋" w:hint="eastAsia"/>
          <w:spacing w:val="-4"/>
          <w:sz w:val="32"/>
          <w:szCs w:val="32"/>
        </w:rPr>
        <w:t>48.68</w:t>
      </w:r>
      <w:r w:rsidR="0026123D">
        <w:rPr>
          <w:rFonts w:ascii="仿宋" w:eastAsia="仿宋" w:hAnsi="仿宋" w:hint="eastAsia"/>
          <w:spacing w:val="-4"/>
          <w:sz w:val="32"/>
          <w:szCs w:val="32"/>
        </w:rPr>
        <w:t>%</w:t>
      </w:r>
      <w:r w:rsidR="004A6938">
        <w:rPr>
          <w:rFonts w:ascii="仿宋" w:eastAsia="仿宋" w:hAnsi="仿宋" w:hint="eastAsia"/>
          <w:color w:val="000000"/>
          <w:spacing w:val="-4"/>
          <w:sz w:val="32"/>
          <w:szCs w:val="32"/>
        </w:rPr>
        <w:t>（见图4）</w:t>
      </w:r>
      <w:r w:rsidR="0026123D">
        <w:rPr>
          <w:rFonts w:ascii="仿宋" w:eastAsia="仿宋" w:hAnsi="仿宋" w:hint="eastAsia"/>
          <w:spacing w:val="-4"/>
          <w:sz w:val="32"/>
          <w:szCs w:val="32"/>
        </w:rPr>
        <w:t>。</w:t>
      </w:r>
    </w:p>
    <w:p w:rsidR="003B2247" w:rsidRDefault="0026123D">
      <w:pPr>
        <w:adjustRightInd w:val="0"/>
        <w:snapToGrid w:val="0"/>
        <w:spacing w:line="600" w:lineRule="exact"/>
        <w:jc w:val="center"/>
        <w:rPr>
          <w:rFonts w:ascii="楷体" w:eastAsia="楷体" w:hAnsi="楷体"/>
          <w:color w:val="000000"/>
          <w:spacing w:val="-4"/>
          <w:kern w:val="0"/>
          <w:sz w:val="32"/>
          <w:szCs w:val="32"/>
        </w:rPr>
      </w:pPr>
      <w:r>
        <w:rPr>
          <w:rFonts w:ascii="楷体" w:eastAsia="楷体" w:hAnsi="楷体" w:hint="eastAsia"/>
          <w:color w:val="000000"/>
          <w:spacing w:val="-4"/>
          <w:kern w:val="0"/>
          <w:sz w:val="32"/>
          <w:szCs w:val="32"/>
        </w:rPr>
        <w:t>图</w:t>
      </w:r>
      <w:r w:rsidR="00791B81">
        <w:rPr>
          <w:rFonts w:ascii="楷体" w:eastAsia="楷体" w:hAnsi="楷体" w:hint="eastAsia"/>
          <w:color w:val="000000"/>
          <w:spacing w:val="-4"/>
          <w:kern w:val="0"/>
          <w:sz w:val="32"/>
          <w:szCs w:val="32"/>
        </w:rPr>
        <w:t>4</w:t>
      </w:r>
      <w:r>
        <w:rPr>
          <w:rFonts w:ascii="楷体" w:eastAsia="楷体" w:hAnsi="楷体"/>
          <w:color w:val="000000"/>
          <w:spacing w:val="-4"/>
          <w:kern w:val="0"/>
          <w:sz w:val="32"/>
          <w:szCs w:val="32"/>
        </w:rPr>
        <w:t>：</w:t>
      </w:r>
      <w:r>
        <w:rPr>
          <w:rFonts w:ascii="楷体" w:eastAsia="楷体" w:hAnsi="楷体" w:hint="eastAsia"/>
          <w:color w:val="000000"/>
          <w:spacing w:val="-4"/>
          <w:kern w:val="0"/>
          <w:sz w:val="32"/>
          <w:szCs w:val="32"/>
        </w:rPr>
        <w:t>全市</w:t>
      </w:r>
      <w:r>
        <w:rPr>
          <w:rFonts w:ascii="楷体" w:eastAsia="楷体" w:hAnsi="楷体"/>
          <w:color w:val="000000"/>
          <w:spacing w:val="-4"/>
          <w:kern w:val="0"/>
          <w:sz w:val="32"/>
          <w:szCs w:val="32"/>
        </w:rPr>
        <w:t>法院</w:t>
      </w:r>
      <w:r>
        <w:rPr>
          <w:rFonts w:ascii="楷体" w:eastAsia="楷体" w:hAnsi="楷体" w:hint="eastAsia"/>
          <w:color w:val="000000"/>
          <w:spacing w:val="-4"/>
          <w:kern w:val="0"/>
          <w:sz w:val="32"/>
          <w:szCs w:val="32"/>
        </w:rPr>
        <w:t>近五年审理</w:t>
      </w:r>
      <w:r>
        <w:rPr>
          <w:rFonts w:ascii="楷体" w:eastAsia="楷体" w:hAnsi="楷体"/>
          <w:color w:val="000000"/>
          <w:spacing w:val="-4"/>
          <w:kern w:val="0"/>
          <w:sz w:val="32"/>
          <w:szCs w:val="32"/>
        </w:rPr>
        <w:t>破产及强制清算案件</w:t>
      </w:r>
      <w:r>
        <w:rPr>
          <w:rFonts w:ascii="楷体" w:eastAsia="楷体" w:hAnsi="楷体" w:hint="eastAsia"/>
          <w:color w:val="000000"/>
          <w:spacing w:val="-4"/>
          <w:kern w:val="0"/>
          <w:sz w:val="32"/>
          <w:szCs w:val="32"/>
        </w:rPr>
        <w:t>数</w:t>
      </w:r>
    </w:p>
    <w:p w:rsidR="003B2247" w:rsidRDefault="0026123D">
      <w:pPr>
        <w:adjustRightInd w:val="0"/>
        <w:snapToGrid w:val="0"/>
        <w:jc w:val="center"/>
        <w:rPr>
          <w:color w:val="000000"/>
          <w:sz w:val="32"/>
          <w:szCs w:val="32"/>
        </w:rPr>
      </w:pPr>
      <w:r>
        <w:rPr>
          <w:rFonts w:hint="eastAsia"/>
          <w:noProof/>
          <w:color w:val="000000"/>
          <w:sz w:val="32"/>
          <w:szCs w:val="32"/>
        </w:rPr>
        <w:lastRenderedPageBreak/>
        <w:drawing>
          <wp:inline distT="0" distB="0" distL="114300" distR="114300" wp14:anchorId="1A6C718B" wp14:editId="4D4C9A71">
            <wp:extent cx="5289550" cy="3848100"/>
            <wp:effectExtent l="0" t="0" r="6350" b="0"/>
            <wp:docPr id="12" name="图片 1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4"/>
                    <pic:cNvPicPr>
                      <a:picLocks noChangeAspect="1"/>
                    </pic:cNvPicPr>
                  </pic:nvPicPr>
                  <pic:blipFill>
                    <a:blip r:embed="rId14"/>
                    <a:stretch>
                      <a:fillRect/>
                    </a:stretch>
                  </pic:blipFill>
                  <pic:spPr>
                    <a:xfrm>
                      <a:off x="0" y="0"/>
                      <a:ext cx="5289550" cy="3848100"/>
                    </a:xfrm>
                    <a:prstGeom prst="rect">
                      <a:avLst/>
                    </a:prstGeom>
                  </pic:spPr>
                </pic:pic>
              </a:graphicData>
            </a:graphic>
          </wp:inline>
        </w:drawing>
      </w:r>
    </w:p>
    <w:p w:rsidR="003B2247" w:rsidRDefault="00DC4B1A" w:rsidP="00157509">
      <w:pPr>
        <w:adjustRightInd w:val="0"/>
        <w:snapToGrid w:val="0"/>
        <w:spacing w:beforeLines="50" w:before="190" w:line="60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全市法院</w:t>
      </w:r>
      <w:r w:rsidR="0026123D">
        <w:rPr>
          <w:rFonts w:ascii="仿宋" w:eastAsia="仿宋" w:hAnsi="仿宋" w:hint="eastAsia"/>
          <w:color w:val="000000"/>
          <w:spacing w:val="-4"/>
          <w:sz w:val="32"/>
          <w:szCs w:val="32"/>
        </w:rPr>
        <w:t>依法受理和审理破产衍生案件，2</w:t>
      </w:r>
      <w:r w:rsidR="0026123D">
        <w:rPr>
          <w:rFonts w:ascii="仿宋" w:eastAsia="仿宋" w:hAnsi="仿宋"/>
          <w:color w:val="000000"/>
          <w:spacing w:val="-4"/>
          <w:sz w:val="32"/>
          <w:szCs w:val="32"/>
        </w:rPr>
        <w:t>02</w:t>
      </w:r>
      <w:r w:rsidR="0026123D">
        <w:rPr>
          <w:rFonts w:ascii="仿宋" w:eastAsia="仿宋" w:hAnsi="仿宋" w:hint="eastAsia"/>
          <w:color w:val="000000"/>
          <w:spacing w:val="-4"/>
          <w:sz w:val="32"/>
          <w:szCs w:val="32"/>
        </w:rPr>
        <w:t>2年</w:t>
      </w:r>
      <w:r>
        <w:rPr>
          <w:rFonts w:ascii="仿宋" w:eastAsia="仿宋" w:hAnsi="仿宋" w:hint="eastAsia"/>
          <w:color w:val="000000"/>
          <w:spacing w:val="-4"/>
          <w:sz w:val="32"/>
          <w:szCs w:val="32"/>
        </w:rPr>
        <w:t>共</w:t>
      </w:r>
      <w:r w:rsidR="0026123D">
        <w:rPr>
          <w:rFonts w:ascii="仿宋" w:eastAsia="仿宋" w:hAnsi="仿宋" w:hint="eastAsia"/>
          <w:color w:val="000000"/>
          <w:spacing w:val="-4"/>
          <w:sz w:val="32"/>
          <w:szCs w:val="32"/>
        </w:rPr>
        <w:t>受理破产衍生诉讼案件698件，同比下降11.76%，审结712件，同比上升5.64%。2</w:t>
      </w:r>
      <w:r w:rsidR="0026123D">
        <w:rPr>
          <w:rFonts w:ascii="仿宋" w:eastAsia="仿宋" w:hAnsi="仿宋"/>
          <w:color w:val="000000"/>
          <w:spacing w:val="-4"/>
          <w:sz w:val="32"/>
          <w:szCs w:val="32"/>
        </w:rPr>
        <w:t>01</w:t>
      </w:r>
      <w:r w:rsidR="0026123D">
        <w:rPr>
          <w:rFonts w:ascii="仿宋" w:eastAsia="仿宋" w:hAnsi="仿宋" w:hint="eastAsia"/>
          <w:color w:val="000000"/>
          <w:spacing w:val="-4"/>
          <w:sz w:val="32"/>
          <w:szCs w:val="32"/>
        </w:rPr>
        <w:t>8至2</w:t>
      </w:r>
      <w:r w:rsidR="0026123D">
        <w:rPr>
          <w:rFonts w:ascii="仿宋" w:eastAsia="仿宋" w:hAnsi="仿宋"/>
          <w:color w:val="000000"/>
          <w:spacing w:val="-4"/>
          <w:sz w:val="32"/>
          <w:szCs w:val="32"/>
        </w:rPr>
        <w:t>02</w:t>
      </w:r>
      <w:r w:rsidR="00DF0834">
        <w:rPr>
          <w:rFonts w:ascii="仿宋" w:eastAsia="仿宋" w:hAnsi="仿宋" w:hint="eastAsia"/>
          <w:color w:val="000000"/>
          <w:spacing w:val="-4"/>
          <w:sz w:val="32"/>
          <w:szCs w:val="32"/>
        </w:rPr>
        <w:t>2</w:t>
      </w:r>
      <w:r w:rsidR="0026123D">
        <w:rPr>
          <w:rFonts w:ascii="仿宋" w:eastAsia="仿宋" w:hAnsi="仿宋" w:hint="eastAsia"/>
          <w:color w:val="000000"/>
          <w:spacing w:val="-4"/>
          <w:sz w:val="32"/>
          <w:szCs w:val="32"/>
        </w:rPr>
        <w:t>年，</w:t>
      </w:r>
      <w:r w:rsidR="0026123D" w:rsidRPr="00531599">
        <w:rPr>
          <w:rFonts w:ascii="仿宋" w:eastAsia="仿宋" w:hAnsi="仿宋" w:hint="eastAsia"/>
          <w:color w:val="000000"/>
          <w:spacing w:val="-4"/>
          <w:sz w:val="32"/>
          <w:szCs w:val="32"/>
        </w:rPr>
        <w:t>受理及审结</w:t>
      </w:r>
      <w:r w:rsidR="00AB03F1">
        <w:rPr>
          <w:rFonts w:ascii="仿宋" w:eastAsia="仿宋" w:hAnsi="仿宋" w:hint="eastAsia"/>
          <w:color w:val="000000"/>
          <w:spacing w:val="-4"/>
          <w:sz w:val="32"/>
          <w:szCs w:val="32"/>
        </w:rPr>
        <w:t>破产衍生诉讼</w:t>
      </w:r>
      <w:r w:rsidR="0026123D" w:rsidRPr="00531599">
        <w:rPr>
          <w:rFonts w:ascii="仿宋" w:eastAsia="仿宋" w:hAnsi="仿宋" w:hint="eastAsia"/>
          <w:color w:val="000000"/>
          <w:spacing w:val="-4"/>
          <w:sz w:val="32"/>
          <w:szCs w:val="32"/>
        </w:rPr>
        <w:t>案件数平均年增长率分别为</w:t>
      </w:r>
      <w:r w:rsidR="00DF0834" w:rsidRPr="00157509">
        <w:rPr>
          <w:rFonts w:ascii="仿宋" w:eastAsia="仿宋" w:hAnsi="仿宋"/>
          <w:color w:val="000000"/>
          <w:spacing w:val="-4"/>
          <w:sz w:val="32"/>
          <w:szCs w:val="32"/>
        </w:rPr>
        <w:t>34.55</w:t>
      </w:r>
      <w:r w:rsidR="0026123D" w:rsidRPr="009F6D62">
        <w:rPr>
          <w:rFonts w:ascii="仿宋" w:eastAsia="仿宋" w:hAnsi="仿宋"/>
          <w:color w:val="000000"/>
          <w:spacing w:val="-4"/>
          <w:sz w:val="32"/>
          <w:szCs w:val="32"/>
        </w:rPr>
        <w:t>%</w:t>
      </w:r>
      <w:r w:rsidR="0026123D" w:rsidRPr="00531599">
        <w:rPr>
          <w:rFonts w:ascii="仿宋" w:eastAsia="仿宋" w:hAnsi="仿宋"/>
          <w:color w:val="000000"/>
          <w:spacing w:val="-4"/>
          <w:sz w:val="32"/>
          <w:szCs w:val="32"/>
        </w:rPr>
        <w:t>、</w:t>
      </w:r>
      <w:r w:rsidR="00DF0834" w:rsidRPr="00157509">
        <w:rPr>
          <w:rFonts w:ascii="仿宋" w:eastAsia="仿宋" w:hAnsi="仿宋"/>
          <w:color w:val="000000"/>
          <w:spacing w:val="-4"/>
          <w:sz w:val="32"/>
          <w:szCs w:val="32"/>
        </w:rPr>
        <w:t>36.85</w:t>
      </w:r>
      <w:r w:rsidR="0026123D" w:rsidRPr="00531599">
        <w:rPr>
          <w:rFonts w:ascii="仿宋" w:eastAsia="仿宋" w:hAnsi="仿宋"/>
          <w:color w:val="000000"/>
          <w:spacing w:val="-4"/>
          <w:sz w:val="32"/>
          <w:szCs w:val="32"/>
        </w:rPr>
        <w:t>%</w:t>
      </w:r>
      <w:r w:rsidR="004A6938">
        <w:rPr>
          <w:rFonts w:ascii="仿宋" w:eastAsia="仿宋" w:hAnsi="仿宋" w:hint="eastAsia"/>
          <w:color w:val="000000"/>
          <w:spacing w:val="-4"/>
          <w:sz w:val="32"/>
          <w:szCs w:val="32"/>
        </w:rPr>
        <w:t>（见图5）</w:t>
      </w:r>
      <w:r w:rsidR="0026123D" w:rsidRPr="009F6D62">
        <w:rPr>
          <w:rFonts w:ascii="仿宋" w:eastAsia="仿宋" w:hAnsi="仿宋"/>
          <w:color w:val="000000"/>
          <w:spacing w:val="-4"/>
          <w:sz w:val="32"/>
          <w:szCs w:val="32"/>
        </w:rPr>
        <w:t>。</w:t>
      </w:r>
    </w:p>
    <w:p w:rsidR="003B2247" w:rsidRDefault="0026123D">
      <w:pPr>
        <w:adjustRightInd w:val="0"/>
        <w:snapToGrid w:val="0"/>
        <w:spacing w:line="600" w:lineRule="exact"/>
        <w:jc w:val="center"/>
        <w:rPr>
          <w:rFonts w:ascii="楷体" w:eastAsia="楷体" w:hAnsi="楷体"/>
          <w:color w:val="000000"/>
          <w:spacing w:val="-4"/>
          <w:kern w:val="0"/>
          <w:sz w:val="32"/>
          <w:szCs w:val="32"/>
        </w:rPr>
      </w:pPr>
      <w:r>
        <w:rPr>
          <w:rFonts w:ascii="楷体" w:eastAsia="楷体" w:hAnsi="楷体" w:hint="eastAsia"/>
          <w:color w:val="000000"/>
          <w:spacing w:val="-4"/>
          <w:kern w:val="0"/>
          <w:sz w:val="32"/>
          <w:szCs w:val="32"/>
        </w:rPr>
        <w:t>图</w:t>
      </w:r>
      <w:r w:rsidR="00791B81">
        <w:rPr>
          <w:rFonts w:ascii="楷体" w:eastAsia="楷体" w:hAnsi="楷体" w:hint="eastAsia"/>
          <w:color w:val="000000"/>
          <w:spacing w:val="-4"/>
          <w:kern w:val="0"/>
          <w:sz w:val="32"/>
          <w:szCs w:val="32"/>
        </w:rPr>
        <w:t>5</w:t>
      </w:r>
      <w:r>
        <w:rPr>
          <w:rFonts w:ascii="楷体" w:eastAsia="楷体" w:hAnsi="楷体"/>
          <w:color w:val="000000"/>
          <w:spacing w:val="-4"/>
          <w:kern w:val="0"/>
          <w:sz w:val="32"/>
          <w:szCs w:val="32"/>
        </w:rPr>
        <w:t>：</w:t>
      </w:r>
      <w:r>
        <w:rPr>
          <w:rFonts w:ascii="楷体" w:eastAsia="楷体" w:hAnsi="楷体" w:hint="eastAsia"/>
          <w:color w:val="000000"/>
          <w:spacing w:val="-4"/>
          <w:kern w:val="0"/>
          <w:sz w:val="32"/>
          <w:szCs w:val="32"/>
        </w:rPr>
        <w:t>全市</w:t>
      </w:r>
      <w:r>
        <w:rPr>
          <w:rFonts w:ascii="楷体" w:eastAsia="楷体" w:hAnsi="楷体"/>
          <w:color w:val="000000"/>
          <w:spacing w:val="-4"/>
          <w:kern w:val="0"/>
          <w:sz w:val="32"/>
          <w:szCs w:val="32"/>
        </w:rPr>
        <w:t>法院</w:t>
      </w:r>
      <w:r>
        <w:rPr>
          <w:rFonts w:ascii="楷体" w:eastAsia="楷体" w:hAnsi="楷体" w:hint="eastAsia"/>
          <w:color w:val="000000"/>
          <w:spacing w:val="-4"/>
          <w:kern w:val="0"/>
          <w:sz w:val="32"/>
          <w:szCs w:val="32"/>
        </w:rPr>
        <w:t>近五年审理</w:t>
      </w:r>
      <w:r>
        <w:rPr>
          <w:rFonts w:ascii="楷体" w:eastAsia="楷体" w:hAnsi="楷体"/>
          <w:color w:val="000000"/>
          <w:spacing w:val="-4"/>
          <w:kern w:val="0"/>
          <w:sz w:val="32"/>
          <w:szCs w:val="32"/>
        </w:rPr>
        <w:t>破产</w:t>
      </w:r>
      <w:r>
        <w:rPr>
          <w:rFonts w:ascii="楷体" w:eastAsia="楷体" w:hAnsi="楷体" w:hint="eastAsia"/>
          <w:color w:val="000000"/>
          <w:spacing w:val="-4"/>
          <w:kern w:val="0"/>
          <w:sz w:val="32"/>
          <w:szCs w:val="32"/>
        </w:rPr>
        <w:t>衍生诉讼</w:t>
      </w:r>
      <w:r>
        <w:rPr>
          <w:rFonts w:ascii="楷体" w:eastAsia="楷体" w:hAnsi="楷体"/>
          <w:color w:val="000000"/>
          <w:spacing w:val="-4"/>
          <w:kern w:val="0"/>
          <w:sz w:val="32"/>
          <w:szCs w:val="32"/>
        </w:rPr>
        <w:t>案件</w:t>
      </w:r>
      <w:r>
        <w:rPr>
          <w:rFonts w:ascii="楷体" w:eastAsia="楷体" w:hAnsi="楷体" w:hint="eastAsia"/>
          <w:color w:val="000000"/>
          <w:spacing w:val="-4"/>
          <w:kern w:val="0"/>
          <w:sz w:val="32"/>
          <w:szCs w:val="32"/>
        </w:rPr>
        <w:t>数</w:t>
      </w:r>
    </w:p>
    <w:p w:rsidR="003B2247" w:rsidRDefault="0026123D">
      <w:pPr>
        <w:adjustRightInd w:val="0"/>
        <w:snapToGrid w:val="0"/>
        <w:spacing w:beforeLines="50" w:before="190"/>
        <w:jc w:val="center"/>
        <w:rPr>
          <w:rFonts w:ascii="仿宋" w:eastAsia="仿宋" w:hAnsi="仿宋"/>
          <w:color w:val="000000"/>
          <w:spacing w:val="-4"/>
          <w:sz w:val="32"/>
          <w:szCs w:val="32"/>
        </w:rPr>
      </w:pPr>
      <w:r>
        <w:rPr>
          <w:rFonts w:ascii="仿宋" w:eastAsia="仿宋" w:hAnsi="仿宋" w:hint="eastAsia"/>
          <w:noProof/>
          <w:color w:val="000000"/>
          <w:spacing w:val="-4"/>
          <w:sz w:val="32"/>
          <w:szCs w:val="32"/>
        </w:rPr>
        <w:lastRenderedPageBreak/>
        <w:drawing>
          <wp:inline distT="0" distB="0" distL="114300" distR="114300" wp14:anchorId="28F3F9F5" wp14:editId="32C8EC12">
            <wp:extent cx="5289550" cy="3848100"/>
            <wp:effectExtent l="0" t="0" r="6350" b="0"/>
            <wp:docPr id="13" name="图片 1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5"/>
                    <pic:cNvPicPr>
                      <a:picLocks noChangeAspect="1"/>
                    </pic:cNvPicPr>
                  </pic:nvPicPr>
                  <pic:blipFill>
                    <a:blip r:embed="rId15"/>
                    <a:stretch>
                      <a:fillRect/>
                    </a:stretch>
                  </pic:blipFill>
                  <pic:spPr>
                    <a:xfrm>
                      <a:off x="0" y="0"/>
                      <a:ext cx="5289550" cy="3848100"/>
                    </a:xfrm>
                    <a:prstGeom prst="rect">
                      <a:avLst/>
                    </a:prstGeom>
                  </pic:spPr>
                </pic:pic>
              </a:graphicData>
            </a:graphic>
          </wp:inline>
        </w:drawing>
      </w:r>
    </w:p>
    <w:p w:rsidR="003B2247" w:rsidRDefault="009B3145" w:rsidP="00157509">
      <w:pPr>
        <w:adjustRightInd w:val="0"/>
        <w:snapToGrid w:val="0"/>
        <w:spacing w:line="600" w:lineRule="exact"/>
        <w:ind w:firstLineChars="200" w:firstLine="624"/>
        <w:rPr>
          <w:rFonts w:ascii="仿宋" w:eastAsia="仿宋" w:hAnsi="仿宋"/>
          <w:spacing w:val="-4"/>
          <w:sz w:val="32"/>
          <w:szCs w:val="32"/>
        </w:rPr>
      </w:pPr>
      <w:r w:rsidRPr="009B3145">
        <w:rPr>
          <w:rFonts w:ascii="仿宋" w:eastAsia="仿宋" w:hAnsi="仿宋" w:hint="eastAsia"/>
          <w:spacing w:val="-4"/>
          <w:sz w:val="32"/>
          <w:szCs w:val="32"/>
        </w:rPr>
        <w:t>截至2022年底，全市法院从事破产审判工作的员额法官人数为33名、法官助理人数为15名，其中15名员额法官及法官助理入选全省法院商事审判人才库。</w:t>
      </w:r>
      <w:r w:rsidR="00DC4B1A">
        <w:rPr>
          <w:rFonts w:ascii="仿宋" w:eastAsia="仿宋" w:hAnsi="仿宋" w:hint="eastAsia"/>
          <w:spacing w:val="-4"/>
          <w:sz w:val="32"/>
          <w:szCs w:val="32"/>
        </w:rPr>
        <w:t>全市</w:t>
      </w:r>
      <w:r w:rsidRPr="009B3145">
        <w:rPr>
          <w:rFonts w:ascii="仿宋" w:eastAsia="仿宋" w:hAnsi="仿宋" w:hint="eastAsia"/>
          <w:spacing w:val="-4"/>
          <w:sz w:val="32"/>
          <w:szCs w:val="32"/>
        </w:rPr>
        <w:t>法院破产</w:t>
      </w:r>
      <w:r w:rsidR="00DD7553">
        <w:rPr>
          <w:rFonts w:ascii="仿宋" w:eastAsia="仿宋" w:hAnsi="仿宋" w:hint="eastAsia"/>
          <w:spacing w:val="-4"/>
          <w:sz w:val="32"/>
          <w:szCs w:val="32"/>
        </w:rPr>
        <w:t>审判</w:t>
      </w:r>
      <w:r w:rsidRPr="009B3145">
        <w:rPr>
          <w:rFonts w:ascii="仿宋" w:eastAsia="仿宋" w:hAnsi="仿宋" w:hint="eastAsia"/>
          <w:spacing w:val="-4"/>
          <w:sz w:val="32"/>
          <w:szCs w:val="32"/>
        </w:rPr>
        <w:t>条线在案件压力逐年增长的情况下，办案质效稳中有升。2019至2022年，破产案件平均审理天数</w:t>
      </w:r>
      <w:r w:rsidR="00DD7553">
        <w:rPr>
          <w:rFonts w:ascii="仿宋" w:eastAsia="仿宋" w:hAnsi="仿宋" w:hint="eastAsia"/>
          <w:spacing w:val="-4"/>
          <w:sz w:val="32"/>
          <w:szCs w:val="32"/>
        </w:rPr>
        <w:t>从</w:t>
      </w:r>
      <w:r w:rsidR="00DD7553" w:rsidRPr="009B3145">
        <w:rPr>
          <w:rFonts w:ascii="仿宋" w:eastAsia="仿宋" w:hAnsi="仿宋" w:hint="eastAsia"/>
          <w:spacing w:val="-4"/>
          <w:sz w:val="32"/>
          <w:szCs w:val="32"/>
        </w:rPr>
        <w:t>388.91天</w:t>
      </w:r>
      <w:r w:rsidR="00112603">
        <w:rPr>
          <w:rFonts w:ascii="仿宋" w:eastAsia="仿宋" w:hAnsi="仿宋" w:hint="eastAsia"/>
          <w:spacing w:val="-4"/>
          <w:sz w:val="32"/>
          <w:szCs w:val="32"/>
        </w:rPr>
        <w:t>逐年下降至</w:t>
      </w:r>
      <w:r w:rsidR="00112603" w:rsidRPr="009B3145">
        <w:rPr>
          <w:rFonts w:ascii="仿宋" w:eastAsia="仿宋" w:hAnsi="仿宋" w:hint="eastAsia"/>
          <w:spacing w:val="-4"/>
          <w:sz w:val="32"/>
          <w:szCs w:val="32"/>
        </w:rPr>
        <w:t>263.53天</w:t>
      </w:r>
      <w:r w:rsidRPr="009B3145">
        <w:rPr>
          <w:rFonts w:ascii="仿宋" w:eastAsia="仿宋" w:hAnsi="仿宋" w:hint="eastAsia"/>
          <w:spacing w:val="-4"/>
          <w:sz w:val="32"/>
          <w:szCs w:val="32"/>
        </w:rPr>
        <w:t>，降幅达32.24%。2022年，破产案件结案率、快速审结案件数及占比等办理破产营商环境考核指标</w:t>
      </w:r>
      <w:r w:rsidR="00736CEE">
        <w:rPr>
          <w:rFonts w:ascii="仿宋" w:eastAsia="仿宋" w:hAnsi="仿宋" w:hint="eastAsia"/>
          <w:spacing w:val="-4"/>
          <w:sz w:val="32"/>
          <w:szCs w:val="32"/>
        </w:rPr>
        <w:t>同比</w:t>
      </w:r>
      <w:r w:rsidRPr="009B3145">
        <w:rPr>
          <w:rFonts w:ascii="仿宋" w:eastAsia="仿宋" w:hAnsi="仿宋" w:hint="eastAsia"/>
          <w:spacing w:val="-4"/>
          <w:sz w:val="32"/>
          <w:szCs w:val="32"/>
        </w:rPr>
        <w:t>均有上升，其中结收案比、结案率较2021年分别上升2.59和2.4个百分点。</w:t>
      </w:r>
    </w:p>
    <w:p w:rsidR="00ED5118" w:rsidRDefault="00ED5118" w:rsidP="00ED5118">
      <w:pPr>
        <w:adjustRightInd w:val="0"/>
        <w:snapToGrid w:val="0"/>
        <w:spacing w:line="600" w:lineRule="exact"/>
        <w:ind w:firstLineChars="200" w:firstLine="624"/>
        <w:rPr>
          <w:rFonts w:eastAsia="黑体"/>
          <w:color w:val="000000"/>
          <w:spacing w:val="-4"/>
          <w:sz w:val="32"/>
          <w:szCs w:val="32"/>
        </w:rPr>
      </w:pPr>
      <w:r>
        <w:rPr>
          <w:rFonts w:eastAsia="黑体" w:hint="eastAsia"/>
          <w:color w:val="000000"/>
          <w:spacing w:val="-4"/>
          <w:sz w:val="32"/>
          <w:szCs w:val="32"/>
        </w:rPr>
        <w:t>二</w:t>
      </w:r>
      <w:r>
        <w:rPr>
          <w:rFonts w:eastAsia="黑体"/>
          <w:color w:val="000000"/>
          <w:spacing w:val="-4"/>
          <w:sz w:val="32"/>
          <w:szCs w:val="32"/>
        </w:rPr>
        <w:t>、破产案件审判运行</w:t>
      </w:r>
      <w:r>
        <w:rPr>
          <w:rFonts w:eastAsia="黑体" w:hint="eastAsia"/>
          <w:color w:val="000000"/>
          <w:spacing w:val="-4"/>
          <w:sz w:val="32"/>
          <w:szCs w:val="32"/>
        </w:rPr>
        <w:t>态势和特点</w:t>
      </w:r>
    </w:p>
    <w:p w:rsidR="00ED5118" w:rsidRPr="00E31ADA" w:rsidRDefault="00ED5118" w:rsidP="00E31ADA">
      <w:pPr>
        <w:adjustRightInd w:val="0"/>
        <w:snapToGrid w:val="0"/>
        <w:spacing w:line="600" w:lineRule="exact"/>
        <w:ind w:firstLineChars="200" w:firstLine="624"/>
        <w:rPr>
          <w:rFonts w:ascii="楷体" w:eastAsia="楷体" w:hAnsi="楷体"/>
          <w:bCs/>
          <w:spacing w:val="-4"/>
          <w:sz w:val="32"/>
          <w:szCs w:val="32"/>
        </w:rPr>
      </w:pPr>
      <w:r>
        <w:rPr>
          <w:rFonts w:ascii="楷体" w:eastAsia="楷体" w:hAnsi="楷体" w:hint="eastAsia"/>
          <w:bCs/>
          <w:spacing w:val="-4"/>
          <w:sz w:val="32"/>
          <w:szCs w:val="32"/>
        </w:rPr>
        <w:t>1.预重整机制及实践更加完善</w:t>
      </w:r>
      <w:r w:rsidR="00E31ADA">
        <w:rPr>
          <w:rFonts w:ascii="楷体" w:eastAsia="楷体" w:hAnsi="楷体" w:hint="eastAsia"/>
          <w:bCs/>
          <w:spacing w:val="-4"/>
          <w:sz w:val="32"/>
          <w:szCs w:val="32"/>
        </w:rPr>
        <w:t>。</w:t>
      </w:r>
      <w:r>
        <w:rPr>
          <w:rFonts w:ascii="仿宋" w:eastAsia="仿宋" w:hAnsi="仿宋" w:hint="eastAsia"/>
          <w:spacing w:val="-4"/>
          <w:sz w:val="32"/>
          <w:szCs w:val="32"/>
        </w:rPr>
        <w:t>市</w:t>
      </w:r>
      <w:r w:rsidRPr="006E4F00">
        <w:rPr>
          <w:rFonts w:ascii="仿宋" w:eastAsia="仿宋" w:hAnsi="仿宋" w:hint="eastAsia"/>
          <w:spacing w:val="-4"/>
          <w:sz w:val="32"/>
          <w:szCs w:val="32"/>
        </w:rPr>
        <w:t>中院修订《关于适用预重整程序若干问题的实施意见》，允许债权人等推荐选任破产管理人，</w:t>
      </w:r>
      <w:r>
        <w:rPr>
          <w:rFonts w:ascii="仿宋" w:eastAsia="仿宋" w:hAnsi="仿宋" w:hint="eastAsia"/>
          <w:spacing w:val="-4"/>
          <w:sz w:val="32"/>
          <w:szCs w:val="32"/>
        </w:rPr>
        <w:t>提高市场主体参与</w:t>
      </w:r>
      <w:r w:rsidRPr="008974B6">
        <w:rPr>
          <w:rFonts w:ascii="仿宋" w:eastAsia="仿宋" w:hAnsi="仿宋" w:hint="eastAsia"/>
          <w:spacing w:val="-4"/>
          <w:sz w:val="32"/>
          <w:szCs w:val="32"/>
        </w:rPr>
        <w:t>程度</w:t>
      </w:r>
      <w:r>
        <w:rPr>
          <w:rFonts w:ascii="仿宋" w:eastAsia="仿宋" w:hAnsi="仿宋" w:hint="eastAsia"/>
          <w:spacing w:val="-4"/>
          <w:sz w:val="32"/>
          <w:szCs w:val="32"/>
        </w:rPr>
        <w:t>、提升程序可预期性</w:t>
      </w:r>
      <w:r w:rsidRPr="008974B6">
        <w:rPr>
          <w:rFonts w:ascii="仿宋" w:eastAsia="仿宋" w:hAnsi="仿宋" w:hint="eastAsia"/>
          <w:spacing w:val="-4"/>
          <w:sz w:val="32"/>
          <w:szCs w:val="32"/>
        </w:rPr>
        <w:t>。</w:t>
      </w:r>
      <w:r w:rsidRPr="006E4F00">
        <w:rPr>
          <w:rFonts w:ascii="仿宋" w:eastAsia="仿宋" w:hAnsi="仿宋" w:hint="eastAsia"/>
          <w:spacing w:val="-4"/>
          <w:sz w:val="32"/>
          <w:szCs w:val="32"/>
        </w:rPr>
        <w:t>吴中</w:t>
      </w:r>
      <w:r>
        <w:rPr>
          <w:rFonts w:ascii="仿宋" w:eastAsia="仿宋" w:hAnsi="仿宋" w:hint="eastAsia"/>
          <w:spacing w:val="-4"/>
          <w:sz w:val="32"/>
          <w:szCs w:val="32"/>
        </w:rPr>
        <w:t>区人民</w:t>
      </w:r>
      <w:r w:rsidRPr="006E4F00">
        <w:rPr>
          <w:rFonts w:ascii="仿宋" w:eastAsia="仿宋" w:hAnsi="仿宋" w:hint="eastAsia"/>
          <w:spacing w:val="-4"/>
          <w:sz w:val="32"/>
          <w:szCs w:val="32"/>
        </w:rPr>
        <w:t>法院</w:t>
      </w:r>
      <w:r w:rsidRPr="00157509">
        <w:rPr>
          <w:rFonts w:ascii="仿宋" w:eastAsia="仿宋" w:hAnsi="仿宋" w:hint="eastAsia"/>
          <w:spacing w:val="-4"/>
          <w:sz w:val="32"/>
          <w:szCs w:val="32"/>
        </w:rPr>
        <w:t>出台</w:t>
      </w:r>
      <w:r w:rsidRPr="006E4F00">
        <w:rPr>
          <w:rFonts w:ascii="仿宋" w:eastAsia="仿宋" w:hAnsi="仿宋" w:hint="eastAsia"/>
          <w:spacing w:val="-4"/>
          <w:sz w:val="32"/>
          <w:szCs w:val="32"/>
        </w:rPr>
        <w:t>《关</w:t>
      </w:r>
      <w:r w:rsidRPr="006E4F00">
        <w:rPr>
          <w:rFonts w:ascii="仿宋" w:eastAsia="仿宋" w:hAnsi="仿宋" w:hint="eastAsia"/>
          <w:spacing w:val="-4"/>
          <w:sz w:val="32"/>
          <w:szCs w:val="32"/>
        </w:rPr>
        <w:lastRenderedPageBreak/>
        <w:t>于审理预破产案件的工作指引》，为助推企业自行清理债务、在厘清企业情况后择取最优处理方案、提升企业</w:t>
      </w:r>
      <w:r>
        <w:rPr>
          <w:rFonts w:ascii="仿宋" w:eastAsia="仿宋" w:hAnsi="仿宋" w:hint="eastAsia"/>
          <w:spacing w:val="-4"/>
          <w:sz w:val="32"/>
          <w:szCs w:val="32"/>
        </w:rPr>
        <w:t>挽救</w:t>
      </w:r>
      <w:r w:rsidRPr="006E4F00">
        <w:rPr>
          <w:rFonts w:ascii="仿宋" w:eastAsia="仿宋" w:hAnsi="仿宋" w:hint="eastAsia"/>
          <w:spacing w:val="-4"/>
          <w:sz w:val="32"/>
          <w:szCs w:val="32"/>
        </w:rPr>
        <w:t>机会提供了制度遵循</w:t>
      </w:r>
      <w:r>
        <w:rPr>
          <w:rFonts w:ascii="仿宋" w:eastAsia="仿宋" w:hAnsi="仿宋" w:hint="eastAsia"/>
          <w:spacing w:val="-4"/>
          <w:sz w:val="32"/>
          <w:szCs w:val="32"/>
        </w:rPr>
        <w:t>。该院</w:t>
      </w:r>
      <w:r w:rsidRPr="006E4F00">
        <w:rPr>
          <w:rFonts w:ascii="仿宋" w:eastAsia="仿宋" w:hAnsi="仿宋" w:hint="eastAsia"/>
          <w:spacing w:val="-4"/>
          <w:sz w:val="32"/>
          <w:szCs w:val="32"/>
        </w:rPr>
        <w:t>破产审判“双预模式”入选</w:t>
      </w:r>
      <w:r>
        <w:rPr>
          <w:rFonts w:ascii="仿宋" w:eastAsia="仿宋" w:hAnsi="仿宋" w:hint="eastAsia"/>
          <w:spacing w:val="-4"/>
          <w:sz w:val="32"/>
          <w:szCs w:val="32"/>
        </w:rPr>
        <w:t>全省法院司法改革典型案例</w:t>
      </w:r>
      <w:r w:rsidRPr="006E4F00">
        <w:rPr>
          <w:rFonts w:ascii="仿宋" w:eastAsia="仿宋" w:hAnsi="仿宋" w:hint="eastAsia"/>
          <w:spacing w:val="-4"/>
          <w:sz w:val="32"/>
          <w:szCs w:val="32"/>
        </w:rPr>
        <w:t>。相城</w:t>
      </w:r>
      <w:r>
        <w:rPr>
          <w:rFonts w:ascii="仿宋" w:eastAsia="仿宋" w:hAnsi="仿宋" w:hint="eastAsia"/>
          <w:spacing w:val="-4"/>
          <w:sz w:val="32"/>
          <w:szCs w:val="32"/>
        </w:rPr>
        <w:t>区人民</w:t>
      </w:r>
      <w:r w:rsidRPr="006E4F00">
        <w:rPr>
          <w:rFonts w:ascii="仿宋" w:eastAsia="仿宋" w:hAnsi="仿宋" w:hint="eastAsia"/>
          <w:spacing w:val="-4"/>
          <w:sz w:val="32"/>
          <w:szCs w:val="32"/>
        </w:rPr>
        <w:t>法院、姑苏</w:t>
      </w:r>
      <w:r>
        <w:rPr>
          <w:rFonts w:ascii="仿宋" w:eastAsia="仿宋" w:hAnsi="仿宋" w:hint="eastAsia"/>
          <w:spacing w:val="-4"/>
          <w:sz w:val="32"/>
          <w:szCs w:val="32"/>
        </w:rPr>
        <w:t>区人民</w:t>
      </w:r>
      <w:r w:rsidRPr="006E4F00">
        <w:rPr>
          <w:rFonts w:ascii="仿宋" w:eastAsia="仿宋" w:hAnsi="仿宋" w:hint="eastAsia"/>
          <w:spacing w:val="-4"/>
          <w:sz w:val="32"/>
          <w:szCs w:val="32"/>
        </w:rPr>
        <w:t>法院均在实践基础上出台预重整规范性文件，为企业庭外重组与庭内重整顺畅衔接提供制度保障。2022年，全市法院决定预重整案件21件，转入重整程序案件12</w:t>
      </w:r>
      <w:r>
        <w:rPr>
          <w:rFonts w:ascii="仿宋" w:eastAsia="仿宋" w:hAnsi="仿宋" w:hint="eastAsia"/>
          <w:spacing w:val="-4"/>
          <w:sz w:val="32"/>
          <w:szCs w:val="32"/>
        </w:rPr>
        <w:t>件。</w:t>
      </w:r>
    </w:p>
    <w:p w:rsidR="00ED5118" w:rsidRPr="00E31ADA" w:rsidRDefault="00ED5118" w:rsidP="00E31ADA">
      <w:pPr>
        <w:adjustRightInd w:val="0"/>
        <w:snapToGrid w:val="0"/>
        <w:spacing w:line="600" w:lineRule="exact"/>
        <w:ind w:firstLineChars="200" w:firstLine="624"/>
        <w:rPr>
          <w:rFonts w:ascii="楷体" w:eastAsia="楷体" w:hAnsi="楷体"/>
          <w:spacing w:val="-4"/>
          <w:sz w:val="32"/>
          <w:szCs w:val="32"/>
        </w:rPr>
      </w:pPr>
      <w:r>
        <w:rPr>
          <w:rFonts w:ascii="楷体" w:eastAsia="楷体" w:hAnsi="楷体" w:hint="eastAsia"/>
          <w:spacing w:val="-4"/>
          <w:sz w:val="32"/>
          <w:szCs w:val="32"/>
        </w:rPr>
        <w:t>2.</w:t>
      </w:r>
      <w:r w:rsidRPr="00D17802">
        <w:rPr>
          <w:rFonts w:ascii="楷体" w:eastAsia="楷体" w:hAnsi="楷体" w:hint="eastAsia"/>
          <w:spacing w:val="-4"/>
          <w:sz w:val="32"/>
          <w:szCs w:val="32"/>
        </w:rPr>
        <w:t>破产配套机制</w:t>
      </w:r>
      <w:r>
        <w:rPr>
          <w:rFonts w:ascii="楷体" w:eastAsia="楷体" w:hAnsi="楷体" w:hint="eastAsia"/>
          <w:spacing w:val="-4"/>
          <w:sz w:val="32"/>
          <w:szCs w:val="32"/>
        </w:rPr>
        <w:t>更加</w:t>
      </w:r>
      <w:r w:rsidRPr="00D17802">
        <w:rPr>
          <w:rFonts w:ascii="楷体" w:eastAsia="楷体" w:hAnsi="楷体" w:hint="eastAsia"/>
          <w:spacing w:val="-4"/>
          <w:sz w:val="32"/>
          <w:szCs w:val="32"/>
        </w:rPr>
        <w:t>丰富</w:t>
      </w:r>
      <w:r w:rsidR="00E31ADA">
        <w:rPr>
          <w:rFonts w:ascii="楷体" w:eastAsia="楷体" w:hAnsi="楷体" w:hint="eastAsia"/>
          <w:spacing w:val="-4"/>
          <w:sz w:val="32"/>
          <w:szCs w:val="32"/>
        </w:rPr>
        <w:t>。</w:t>
      </w:r>
      <w:r w:rsidRPr="0029099E">
        <w:rPr>
          <w:rFonts w:ascii="仿宋" w:eastAsia="仿宋" w:hAnsi="仿宋" w:hint="eastAsia"/>
          <w:spacing w:val="-4"/>
          <w:sz w:val="32"/>
          <w:szCs w:val="32"/>
        </w:rPr>
        <w:t>积极推进破产审判配套保障机制建设，从资产处置、资金融通、信用修复等多个环节</w:t>
      </w:r>
      <w:r>
        <w:rPr>
          <w:rFonts w:ascii="仿宋" w:eastAsia="仿宋" w:hAnsi="仿宋" w:hint="eastAsia"/>
          <w:spacing w:val="-4"/>
          <w:sz w:val="32"/>
          <w:szCs w:val="32"/>
        </w:rPr>
        <w:t>发力，积极</w:t>
      </w:r>
      <w:r w:rsidRPr="0029099E">
        <w:rPr>
          <w:rFonts w:ascii="仿宋" w:eastAsia="仿宋" w:hAnsi="仿宋" w:hint="eastAsia"/>
          <w:spacing w:val="-4"/>
          <w:sz w:val="32"/>
          <w:szCs w:val="32"/>
        </w:rPr>
        <w:t>挽救有希望的困境企业。</w:t>
      </w:r>
      <w:r>
        <w:rPr>
          <w:rFonts w:ascii="仿宋" w:eastAsia="仿宋" w:hAnsi="仿宋" w:hint="eastAsia"/>
          <w:spacing w:val="-4"/>
          <w:sz w:val="32"/>
          <w:szCs w:val="32"/>
        </w:rPr>
        <w:t>2022年，全市法院共审结</w:t>
      </w:r>
      <w:r>
        <w:rPr>
          <w:rFonts w:ascii="仿宋" w:eastAsia="仿宋" w:hAnsi="仿宋" w:hint="eastAsia"/>
          <w:sz w:val="32"/>
          <w:szCs w:val="32"/>
        </w:rPr>
        <w:t>破产重整案件22件、破产和解案件4</w:t>
      </w:r>
      <w:r>
        <w:rPr>
          <w:rFonts w:ascii="仿宋" w:eastAsia="仿宋" w:hAnsi="仿宋"/>
          <w:sz w:val="32"/>
          <w:szCs w:val="32"/>
        </w:rPr>
        <w:t>3</w:t>
      </w:r>
      <w:r>
        <w:rPr>
          <w:rFonts w:ascii="仿宋" w:eastAsia="仿宋" w:hAnsi="仿宋" w:hint="eastAsia"/>
          <w:sz w:val="32"/>
          <w:szCs w:val="32"/>
        </w:rPr>
        <w:t>件。</w:t>
      </w:r>
      <w:r w:rsidRPr="0029099E">
        <w:rPr>
          <w:rFonts w:ascii="仿宋" w:eastAsia="仿宋" w:hAnsi="仿宋" w:hint="eastAsia"/>
          <w:spacing w:val="-4"/>
          <w:sz w:val="32"/>
          <w:szCs w:val="32"/>
        </w:rPr>
        <w:t>吴中</w:t>
      </w:r>
      <w:r>
        <w:rPr>
          <w:rFonts w:ascii="仿宋" w:eastAsia="仿宋" w:hAnsi="仿宋" w:hint="eastAsia"/>
          <w:spacing w:val="-4"/>
          <w:sz w:val="32"/>
          <w:szCs w:val="32"/>
        </w:rPr>
        <w:t>区人民</w:t>
      </w:r>
      <w:r w:rsidRPr="0029099E">
        <w:rPr>
          <w:rFonts w:ascii="仿宋" w:eastAsia="仿宋" w:hAnsi="仿宋" w:hint="eastAsia"/>
          <w:spacing w:val="-4"/>
          <w:sz w:val="32"/>
          <w:szCs w:val="32"/>
        </w:rPr>
        <w:t>法院审理的新聚鑫公司破产和解案</w:t>
      </w:r>
      <w:r>
        <w:rPr>
          <w:rFonts w:ascii="仿宋" w:eastAsia="仿宋" w:hAnsi="仿宋" w:hint="eastAsia"/>
          <w:spacing w:val="-4"/>
          <w:sz w:val="32"/>
          <w:szCs w:val="32"/>
        </w:rPr>
        <w:t>，</w:t>
      </w:r>
      <w:r w:rsidRPr="0029099E">
        <w:rPr>
          <w:rFonts w:ascii="仿宋" w:eastAsia="仿宋" w:hAnsi="仿宋" w:hint="eastAsia"/>
          <w:spacing w:val="-4"/>
          <w:sz w:val="32"/>
          <w:szCs w:val="32"/>
        </w:rPr>
        <w:t>自受理</w:t>
      </w:r>
      <w:r>
        <w:rPr>
          <w:rFonts w:ascii="仿宋" w:eastAsia="仿宋" w:hAnsi="仿宋" w:hint="eastAsia"/>
          <w:spacing w:val="-4"/>
          <w:sz w:val="32"/>
          <w:szCs w:val="32"/>
        </w:rPr>
        <w:t>、</w:t>
      </w:r>
      <w:r w:rsidRPr="0029099E">
        <w:rPr>
          <w:rFonts w:ascii="仿宋" w:eastAsia="仿宋" w:hAnsi="仿宋" w:hint="eastAsia"/>
          <w:spacing w:val="-4"/>
          <w:sz w:val="32"/>
          <w:szCs w:val="32"/>
        </w:rPr>
        <w:t>和解至终止和解程序仅用时8天，在结案后通过发放《信用修复证明》为企业后续经营移除“绊脚石”，正向激励企业守信，鼓励企业合规经营，</w:t>
      </w:r>
      <w:r>
        <w:rPr>
          <w:rFonts w:ascii="仿宋" w:eastAsia="仿宋" w:hAnsi="仿宋" w:hint="eastAsia"/>
          <w:spacing w:val="-4"/>
          <w:sz w:val="32"/>
          <w:szCs w:val="32"/>
        </w:rPr>
        <w:t>得到最高人民法院的充分肯定</w:t>
      </w:r>
      <w:r w:rsidRPr="0029099E">
        <w:rPr>
          <w:rFonts w:ascii="仿宋" w:eastAsia="仿宋" w:hAnsi="仿宋" w:hint="eastAsia"/>
          <w:spacing w:val="-4"/>
          <w:sz w:val="32"/>
          <w:szCs w:val="32"/>
        </w:rPr>
        <w:t>。太仓</w:t>
      </w:r>
      <w:r>
        <w:rPr>
          <w:rFonts w:ascii="仿宋" w:eastAsia="仿宋" w:hAnsi="仿宋" w:hint="eastAsia"/>
          <w:spacing w:val="-4"/>
          <w:sz w:val="32"/>
          <w:szCs w:val="32"/>
        </w:rPr>
        <w:t>市人民</w:t>
      </w:r>
      <w:r w:rsidRPr="0029099E">
        <w:rPr>
          <w:rFonts w:ascii="仿宋" w:eastAsia="仿宋" w:hAnsi="仿宋" w:hint="eastAsia"/>
          <w:spacing w:val="-4"/>
          <w:sz w:val="32"/>
          <w:szCs w:val="32"/>
        </w:rPr>
        <w:t>法院在国药致君公司破产重整程序中</w:t>
      </w:r>
      <w:r>
        <w:rPr>
          <w:rFonts w:ascii="仿宋" w:eastAsia="仿宋" w:hAnsi="仿宋" w:hint="eastAsia"/>
          <w:spacing w:val="-4"/>
          <w:sz w:val="32"/>
          <w:szCs w:val="32"/>
        </w:rPr>
        <w:t>，</w:t>
      </w:r>
      <w:r w:rsidRPr="0029099E">
        <w:rPr>
          <w:rFonts w:ascii="仿宋" w:eastAsia="仿宋" w:hAnsi="仿宋" w:hint="eastAsia"/>
          <w:spacing w:val="-4"/>
          <w:sz w:val="32"/>
          <w:szCs w:val="32"/>
        </w:rPr>
        <w:t>创新性地引入破产受托服务信托机制，在重整方案制定中将管理人预留的破产财产、尚未收回的应收账款以及重整投资人支付的重整对价由破产企业委托</w:t>
      </w:r>
      <w:r w:rsidRPr="0067042F">
        <w:rPr>
          <w:rFonts w:ascii="仿宋" w:eastAsia="仿宋" w:hAnsi="仿宋" w:hint="eastAsia"/>
          <w:spacing w:val="-4"/>
          <w:sz w:val="32"/>
          <w:szCs w:val="32"/>
        </w:rPr>
        <w:t>苏州信托</w:t>
      </w:r>
      <w:r w:rsidRPr="0029099E">
        <w:rPr>
          <w:rFonts w:ascii="仿宋" w:eastAsia="仿宋" w:hAnsi="仿宋" w:hint="eastAsia"/>
          <w:spacing w:val="-4"/>
          <w:sz w:val="32"/>
          <w:szCs w:val="32"/>
        </w:rPr>
        <w:t>设立服务信托，在服务信托项下实现应收账款等财产的清理、催收、分配工作，清收所得现金财产在优先支付相关费用后向未获清偿的债权人进行分配。常熟</w:t>
      </w:r>
      <w:r>
        <w:rPr>
          <w:rFonts w:ascii="仿宋" w:eastAsia="仿宋" w:hAnsi="仿宋" w:hint="eastAsia"/>
          <w:spacing w:val="-4"/>
          <w:sz w:val="32"/>
          <w:szCs w:val="32"/>
        </w:rPr>
        <w:t>市人民</w:t>
      </w:r>
      <w:r w:rsidRPr="0029099E">
        <w:rPr>
          <w:rFonts w:ascii="仿宋" w:eastAsia="仿宋" w:hAnsi="仿宋" w:hint="eastAsia"/>
          <w:spacing w:val="-4"/>
          <w:sz w:val="32"/>
          <w:szCs w:val="32"/>
        </w:rPr>
        <w:t>法院与</w:t>
      </w:r>
      <w:r>
        <w:rPr>
          <w:rFonts w:ascii="仿宋" w:eastAsia="仿宋" w:hAnsi="仿宋" w:hint="eastAsia"/>
          <w:spacing w:val="-4"/>
          <w:sz w:val="32"/>
          <w:szCs w:val="32"/>
        </w:rPr>
        <w:t>银行</w:t>
      </w:r>
      <w:r w:rsidRPr="0029099E">
        <w:rPr>
          <w:rFonts w:ascii="仿宋" w:eastAsia="仿宋" w:hAnsi="仿宋" w:hint="eastAsia"/>
          <w:spacing w:val="-4"/>
          <w:sz w:val="32"/>
          <w:szCs w:val="32"/>
        </w:rPr>
        <w:t>深化“法银协作”</w:t>
      </w:r>
      <w:r>
        <w:rPr>
          <w:rFonts w:ascii="仿宋" w:eastAsia="仿宋" w:hAnsi="仿宋" w:hint="eastAsia"/>
          <w:spacing w:val="-4"/>
          <w:sz w:val="32"/>
          <w:szCs w:val="32"/>
        </w:rPr>
        <w:t>机制</w:t>
      </w:r>
      <w:r w:rsidRPr="0029099E">
        <w:rPr>
          <w:rFonts w:ascii="仿宋" w:eastAsia="仿宋" w:hAnsi="仿宋" w:hint="eastAsia"/>
          <w:spacing w:val="-4"/>
          <w:sz w:val="32"/>
          <w:szCs w:val="32"/>
        </w:rPr>
        <w:t>，</w:t>
      </w:r>
      <w:r>
        <w:rPr>
          <w:rFonts w:ascii="仿宋" w:eastAsia="仿宋" w:hAnsi="仿宋" w:hint="eastAsia"/>
          <w:spacing w:val="-4"/>
          <w:sz w:val="32"/>
          <w:szCs w:val="32"/>
        </w:rPr>
        <w:t>帮助</w:t>
      </w:r>
      <w:r w:rsidRPr="0029099E">
        <w:rPr>
          <w:rFonts w:ascii="仿宋" w:eastAsia="仿宋" w:hAnsi="仿宋" w:hint="eastAsia"/>
          <w:spacing w:val="-4"/>
          <w:sz w:val="32"/>
          <w:szCs w:val="32"/>
        </w:rPr>
        <w:t>拓宽破产企业重整融资渠道。</w:t>
      </w:r>
    </w:p>
    <w:p w:rsidR="00ED5118" w:rsidRPr="00E31ADA" w:rsidRDefault="00ED5118" w:rsidP="00E31ADA">
      <w:pPr>
        <w:adjustRightInd w:val="0"/>
        <w:snapToGrid w:val="0"/>
        <w:spacing w:line="600" w:lineRule="exact"/>
        <w:ind w:firstLineChars="200" w:firstLine="624"/>
        <w:rPr>
          <w:rFonts w:ascii="楷体" w:eastAsia="楷体" w:hAnsi="楷体"/>
          <w:bCs/>
          <w:spacing w:val="-4"/>
          <w:sz w:val="32"/>
          <w:szCs w:val="32"/>
        </w:rPr>
      </w:pPr>
      <w:r>
        <w:rPr>
          <w:rFonts w:ascii="楷体" w:eastAsia="楷体" w:hAnsi="楷体" w:hint="eastAsia"/>
          <w:bCs/>
          <w:spacing w:val="-4"/>
          <w:sz w:val="32"/>
          <w:szCs w:val="32"/>
        </w:rPr>
        <w:t>3.破产逃废债防范和打击工作更加深入</w:t>
      </w:r>
      <w:r w:rsidR="00E31ADA">
        <w:rPr>
          <w:rFonts w:ascii="楷体" w:eastAsia="楷体" w:hAnsi="楷体" w:hint="eastAsia"/>
          <w:bCs/>
          <w:spacing w:val="-4"/>
          <w:sz w:val="32"/>
          <w:szCs w:val="32"/>
        </w:rPr>
        <w:t>。</w:t>
      </w:r>
      <w:r>
        <w:rPr>
          <w:rFonts w:ascii="仿宋" w:eastAsia="仿宋" w:hAnsi="仿宋" w:hint="eastAsia"/>
          <w:spacing w:val="-4"/>
          <w:sz w:val="32"/>
          <w:szCs w:val="32"/>
        </w:rPr>
        <w:t>高度重视防范</w:t>
      </w:r>
      <w:r w:rsidRPr="00070B52">
        <w:rPr>
          <w:rFonts w:ascii="仿宋" w:eastAsia="仿宋" w:hAnsi="仿宋" w:hint="eastAsia"/>
          <w:spacing w:val="-4"/>
          <w:sz w:val="32"/>
          <w:szCs w:val="32"/>
        </w:rPr>
        <w:t>打击假借破产程序逃废债务行为，进一步</w:t>
      </w:r>
      <w:r>
        <w:rPr>
          <w:rFonts w:ascii="仿宋" w:eastAsia="仿宋" w:hAnsi="仿宋" w:hint="eastAsia"/>
          <w:spacing w:val="-4"/>
          <w:sz w:val="32"/>
          <w:szCs w:val="32"/>
        </w:rPr>
        <w:t>依法规范企业</w:t>
      </w:r>
      <w:r w:rsidRPr="00070B52">
        <w:rPr>
          <w:rFonts w:ascii="仿宋" w:eastAsia="仿宋" w:hAnsi="仿宋" w:hint="eastAsia"/>
          <w:spacing w:val="-4"/>
          <w:sz w:val="32"/>
          <w:szCs w:val="32"/>
        </w:rPr>
        <w:t>破产</w:t>
      </w:r>
      <w:r>
        <w:rPr>
          <w:rFonts w:ascii="仿宋" w:eastAsia="仿宋" w:hAnsi="仿宋" w:hint="eastAsia"/>
          <w:spacing w:val="-4"/>
          <w:sz w:val="32"/>
          <w:szCs w:val="32"/>
        </w:rPr>
        <w:t>行为</w:t>
      </w:r>
      <w:r w:rsidRPr="00070B52">
        <w:rPr>
          <w:rFonts w:ascii="仿宋" w:eastAsia="仿宋" w:hAnsi="仿宋" w:hint="eastAsia"/>
          <w:spacing w:val="-4"/>
          <w:sz w:val="32"/>
          <w:szCs w:val="32"/>
        </w:rPr>
        <w:t>，实现市</w:t>
      </w:r>
      <w:r w:rsidRPr="00070B52">
        <w:rPr>
          <w:rFonts w:ascii="仿宋" w:eastAsia="仿宋" w:hAnsi="仿宋" w:hint="eastAsia"/>
          <w:spacing w:val="-4"/>
          <w:sz w:val="32"/>
          <w:szCs w:val="32"/>
        </w:rPr>
        <w:lastRenderedPageBreak/>
        <w:t>场主体有序退出</w:t>
      </w:r>
      <w:r>
        <w:rPr>
          <w:rFonts w:ascii="仿宋" w:eastAsia="仿宋" w:hAnsi="仿宋" w:hint="eastAsia"/>
          <w:spacing w:val="-4"/>
          <w:sz w:val="32"/>
          <w:szCs w:val="32"/>
        </w:rPr>
        <w:t>。</w:t>
      </w:r>
      <w:r w:rsidRPr="00070B52">
        <w:rPr>
          <w:rFonts w:ascii="仿宋" w:eastAsia="仿宋" w:hAnsi="仿宋" w:hint="eastAsia"/>
          <w:spacing w:val="-4"/>
          <w:sz w:val="32"/>
          <w:szCs w:val="32"/>
        </w:rPr>
        <w:t>2022年</w:t>
      </w:r>
      <w:r>
        <w:rPr>
          <w:rFonts w:ascii="仿宋" w:eastAsia="仿宋" w:hAnsi="仿宋" w:hint="eastAsia"/>
          <w:spacing w:val="-4"/>
          <w:sz w:val="32"/>
          <w:szCs w:val="32"/>
        </w:rPr>
        <w:t>，全市法院</w:t>
      </w:r>
      <w:r w:rsidRPr="00070B52">
        <w:rPr>
          <w:rFonts w:ascii="仿宋" w:eastAsia="仿宋" w:hAnsi="仿宋" w:hint="eastAsia"/>
          <w:spacing w:val="-4"/>
          <w:sz w:val="32"/>
          <w:szCs w:val="32"/>
        </w:rPr>
        <w:t>共向公安机关、检察机关移送13条涉嫌刑事犯罪线索。吴中</w:t>
      </w:r>
      <w:r>
        <w:rPr>
          <w:rFonts w:ascii="仿宋" w:eastAsia="仿宋" w:hAnsi="仿宋" w:hint="eastAsia"/>
          <w:spacing w:val="-4"/>
          <w:sz w:val="32"/>
          <w:szCs w:val="32"/>
        </w:rPr>
        <w:t>区人民</w:t>
      </w:r>
      <w:r w:rsidRPr="00070B52">
        <w:rPr>
          <w:rFonts w:ascii="仿宋" w:eastAsia="仿宋" w:hAnsi="仿宋" w:hint="eastAsia"/>
          <w:spacing w:val="-4"/>
          <w:sz w:val="32"/>
          <w:szCs w:val="32"/>
        </w:rPr>
        <w:t>法院发布《防范与打击借破产逃废债务的工作意见》，以正式文件明确了法院对“假破产、真逃债”案件的处置模式与责任追究。相城、吴江、张家港等法院均与</w:t>
      </w:r>
      <w:r>
        <w:rPr>
          <w:rFonts w:ascii="仿宋" w:eastAsia="仿宋" w:hAnsi="仿宋" w:hint="eastAsia"/>
          <w:spacing w:val="-4"/>
          <w:sz w:val="32"/>
          <w:szCs w:val="32"/>
        </w:rPr>
        <w:t>当地</w:t>
      </w:r>
      <w:r w:rsidRPr="00070B52">
        <w:rPr>
          <w:rFonts w:ascii="仿宋" w:eastAsia="仿宋" w:hAnsi="仿宋" w:hint="eastAsia"/>
          <w:spacing w:val="-4"/>
          <w:sz w:val="32"/>
          <w:szCs w:val="32"/>
        </w:rPr>
        <w:t>公安、检察、司法</w:t>
      </w:r>
      <w:r>
        <w:rPr>
          <w:rFonts w:ascii="仿宋" w:eastAsia="仿宋" w:hAnsi="仿宋" w:hint="eastAsia"/>
          <w:spacing w:val="-4"/>
          <w:sz w:val="32"/>
          <w:szCs w:val="32"/>
        </w:rPr>
        <w:t>行政等部门就打击破产领域犯罪建立</w:t>
      </w:r>
      <w:r w:rsidRPr="00070B52">
        <w:rPr>
          <w:rFonts w:ascii="仿宋" w:eastAsia="仿宋" w:hAnsi="仿宋" w:hint="eastAsia"/>
          <w:spacing w:val="-4"/>
          <w:sz w:val="32"/>
          <w:szCs w:val="32"/>
        </w:rPr>
        <w:t>定期会商及协作机制。常熟</w:t>
      </w:r>
      <w:r>
        <w:rPr>
          <w:rFonts w:ascii="仿宋" w:eastAsia="仿宋" w:hAnsi="仿宋" w:hint="eastAsia"/>
          <w:spacing w:val="-4"/>
          <w:sz w:val="32"/>
          <w:szCs w:val="32"/>
        </w:rPr>
        <w:t>市人民</w:t>
      </w:r>
      <w:r w:rsidRPr="00070B52">
        <w:rPr>
          <w:rFonts w:ascii="仿宋" w:eastAsia="仿宋" w:hAnsi="仿宋" w:hint="eastAsia"/>
          <w:spacing w:val="-4"/>
          <w:sz w:val="32"/>
          <w:szCs w:val="32"/>
        </w:rPr>
        <w:t>法院在某破产清算案件中，对隐瞒债权已清偿事实仍申报债权</w:t>
      </w:r>
      <w:r>
        <w:rPr>
          <w:rFonts w:ascii="仿宋" w:eastAsia="仿宋" w:hAnsi="仿宋" w:hint="eastAsia"/>
          <w:spacing w:val="-4"/>
          <w:sz w:val="32"/>
          <w:szCs w:val="32"/>
        </w:rPr>
        <w:t>者</w:t>
      </w:r>
      <w:r w:rsidRPr="00070B52">
        <w:rPr>
          <w:rFonts w:ascii="仿宋" w:eastAsia="仿宋" w:hAnsi="仿宋" w:hint="eastAsia"/>
          <w:spacing w:val="-4"/>
          <w:sz w:val="32"/>
          <w:szCs w:val="32"/>
        </w:rPr>
        <w:t>作出罚款10万元的决定。吴江</w:t>
      </w:r>
      <w:r>
        <w:rPr>
          <w:rFonts w:ascii="仿宋" w:eastAsia="仿宋" w:hAnsi="仿宋" w:hint="eastAsia"/>
          <w:spacing w:val="-4"/>
          <w:sz w:val="32"/>
          <w:szCs w:val="32"/>
        </w:rPr>
        <w:t>区人民</w:t>
      </w:r>
      <w:r w:rsidRPr="00070B52">
        <w:rPr>
          <w:rFonts w:ascii="仿宋" w:eastAsia="仿宋" w:hAnsi="仿宋" w:hint="eastAsia"/>
          <w:spacing w:val="-4"/>
          <w:sz w:val="32"/>
          <w:szCs w:val="32"/>
        </w:rPr>
        <w:t>法院出台《关于防范和查处职工破产债权虚假诉讼的工作指引》，2022年</w:t>
      </w:r>
      <w:r>
        <w:rPr>
          <w:rFonts w:ascii="仿宋" w:eastAsia="仿宋" w:hAnsi="仿宋" w:hint="eastAsia"/>
          <w:spacing w:val="-4"/>
          <w:sz w:val="32"/>
          <w:szCs w:val="32"/>
        </w:rPr>
        <w:t>相较</w:t>
      </w:r>
      <w:r w:rsidRPr="00070B52">
        <w:rPr>
          <w:rFonts w:ascii="仿宋" w:eastAsia="仿宋" w:hAnsi="仿宋" w:hint="eastAsia"/>
          <w:spacing w:val="-4"/>
          <w:sz w:val="32"/>
          <w:szCs w:val="32"/>
        </w:rPr>
        <w:t>2018年，职工破产债权确认纠纷服判息诉率从50%升至75%，撤诉案件占比从12.5%升至57.14%。</w:t>
      </w:r>
      <w:r>
        <w:rPr>
          <w:rFonts w:ascii="仿宋" w:eastAsia="仿宋" w:hAnsi="仿宋" w:hint="eastAsia"/>
          <w:spacing w:val="-4"/>
          <w:sz w:val="32"/>
          <w:szCs w:val="32"/>
        </w:rPr>
        <w:t xml:space="preserve">   </w:t>
      </w:r>
    </w:p>
    <w:p w:rsidR="00ED5118" w:rsidRPr="00E31ADA" w:rsidRDefault="00ED5118" w:rsidP="00E31ADA">
      <w:pPr>
        <w:adjustRightInd w:val="0"/>
        <w:snapToGrid w:val="0"/>
        <w:spacing w:line="600" w:lineRule="exact"/>
        <w:ind w:firstLineChars="200" w:firstLine="624"/>
        <w:rPr>
          <w:rFonts w:ascii="楷体" w:eastAsia="楷体" w:hAnsi="楷体"/>
          <w:spacing w:val="-4"/>
          <w:sz w:val="32"/>
          <w:szCs w:val="32"/>
        </w:rPr>
      </w:pPr>
      <w:r>
        <w:rPr>
          <w:rFonts w:ascii="楷体" w:eastAsia="楷体" w:hAnsi="楷体" w:hint="eastAsia"/>
          <w:spacing w:val="-4"/>
          <w:sz w:val="32"/>
          <w:szCs w:val="32"/>
        </w:rPr>
        <w:t>4</w:t>
      </w:r>
      <w:r w:rsidRPr="007C1F06">
        <w:rPr>
          <w:rFonts w:ascii="楷体" w:eastAsia="楷体" w:hAnsi="楷体" w:hint="eastAsia"/>
          <w:spacing w:val="-4"/>
          <w:sz w:val="32"/>
          <w:szCs w:val="32"/>
        </w:rPr>
        <w:t>.</w:t>
      </w:r>
      <w:r>
        <w:rPr>
          <w:rFonts w:ascii="楷体" w:eastAsia="楷体" w:hAnsi="楷体" w:hint="eastAsia"/>
          <w:spacing w:val="-4"/>
          <w:sz w:val="32"/>
          <w:szCs w:val="32"/>
        </w:rPr>
        <w:t>立审执破衔接互促更加畅通</w:t>
      </w:r>
      <w:r w:rsidR="00E31ADA">
        <w:rPr>
          <w:rFonts w:ascii="楷体" w:eastAsia="楷体" w:hAnsi="楷体" w:hint="eastAsia"/>
          <w:spacing w:val="-4"/>
          <w:sz w:val="32"/>
          <w:szCs w:val="32"/>
        </w:rPr>
        <w:t>。</w:t>
      </w:r>
      <w:r>
        <w:rPr>
          <w:rFonts w:ascii="仿宋" w:eastAsia="仿宋" w:hAnsi="仿宋" w:hint="eastAsia"/>
          <w:spacing w:val="-4"/>
          <w:sz w:val="32"/>
          <w:szCs w:val="32"/>
        </w:rPr>
        <w:t>进一</w:t>
      </w:r>
      <w:r w:rsidRPr="00B0046F">
        <w:rPr>
          <w:rFonts w:ascii="仿宋" w:eastAsia="仿宋" w:hAnsi="仿宋" w:hint="eastAsia"/>
          <w:spacing w:val="-4"/>
          <w:sz w:val="32"/>
          <w:szCs w:val="32"/>
        </w:rPr>
        <w:t>步优化</w:t>
      </w:r>
      <w:r w:rsidRPr="00157509">
        <w:rPr>
          <w:rFonts w:ascii="仿宋" w:eastAsia="仿宋" w:hAnsi="仿宋" w:hint="eastAsia"/>
          <w:spacing w:val="-4"/>
          <w:sz w:val="32"/>
          <w:szCs w:val="32"/>
        </w:rPr>
        <w:t>立审执破协同</w:t>
      </w:r>
      <w:r w:rsidRPr="00B0046F">
        <w:rPr>
          <w:rFonts w:ascii="仿宋" w:eastAsia="仿宋" w:hAnsi="仿宋" w:hint="eastAsia"/>
          <w:spacing w:val="-4"/>
          <w:sz w:val="32"/>
          <w:szCs w:val="32"/>
        </w:rPr>
        <w:t>机制</w:t>
      </w:r>
      <w:r>
        <w:rPr>
          <w:rFonts w:ascii="仿宋" w:eastAsia="仿宋" w:hAnsi="仿宋" w:hint="eastAsia"/>
          <w:spacing w:val="-4"/>
          <w:sz w:val="32"/>
          <w:szCs w:val="32"/>
        </w:rPr>
        <w:t>，推动</w:t>
      </w:r>
      <w:r w:rsidRPr="00F0235F">
        <w:rPr>
          <w:rFonts w:ascii="仿宋" w:eastAsia="仿宋" w:hAnsi="仿宋" w:hint="eastAsia"/>
          <w:spacing w:val="-4"/>
          <w:sz w:val="32"/>
          <w:szCs w:val="32"/>
        </w:rPr>
        <w:t>纠纷概括解决、债权公平受偿、企业尽早挽救</w:t>
      </w:r>
      <w:r w:rsidRPr="00093DE6">
        <w:rPr>
          <w:rFonts w:ascii="仿宋" w:eastAsia="仿宋" w:hAnsi="仿宋" w:hint="eastAsia"/>
          <w:spacing w:val="-4"/>
          <w:sz w:val="32"/>
          <w:szCs w:val="32"/>
        </w:rPr>
        <w:t>。</w:t>
      </w:r>
      <w:r>
        <w:rPr>
          <w:rFonts w:ascii="仿宋" w:eastAsia="仿宋" w:hAnsi="仿宋" w:hint="eastAsia"/>
          <w:spacing w:val="-4"/>
          <w:sz w:val="32"/>
          <w:szCs w:val="32"/>
        </w:rPr>
        <w:t>苏州工业园区人民法院探索建立经营异常企业名录信息共享及预警机制，实现经营异常市场主体依法分类有序退出。姑苏区人民法院</w:t>
      </w:r>
      <w:r w:rsidRPr="00093DE6">
        <w:rPr>
          <w:rFonts w:ascii="仿宋" w:eastAsia="仿宋" w:hAnsi="仿宋" w:hint="eastAsia"/>
          <w:spacing w:val="-4"/>
          <w:sz w:val="32"/>
          <w:szCs w:val="32"/>
        </w:rPr>
        <w:t>建立诉前调解、立案、审判、执行转破产快速衔接工作</w:t>
      </w:r>
      <w:r>
        <w:rPr>
          <w:rFonts w:ascii="仿宋" w:eastAsia="仿宋" w:hAnsi="仿宋" w:hint="eastAsia"/>
          <w:spacing w:val="-4"/>
          <w:sz w:val="32"/>
          <w:szCs w:val="32"/>
        </w:rPr>
        <w:t>机制，合力打通程序</w:t>
      </w:r>
      <w:r w:rsidRPr="00093DE6">
        <w:rPr>
          <w:rFonts w:ascii="仿宋" w:eastAsia="仿宋" w:hAnsi="仿宋" w:hint="eastAsia"/>
          <w:spacing w:val="-4"/>
          <w:sz w:val="32"/>
          <w:szCs w:val="32"/>
        </w:rPr>
        <w:t>节点。</w:t>
      </w:r>
      <w:r>
        <w:rPr>
          <w:rFonts w:ascii="仿宋" w:eastAsia="仿宋" w:hAnsi="仿宋" w:hint="eastAsia"/>
          <w:spacing w:val="-4"/>
          <w:sz w:val="32"/>
          <w:szCs w:val="32"/>
        </w:rPr>
        <w:t>昆山市人民法院</w:t>
      </w:r>
      <w:r w:rsidRPr="00F0235F">
        <w:rPr>
          <w:rFonts w:ascii="仿宋" w:eastAsia="仿宋" w:hAnsi="仿宋" w:hint="eastAsia"/>
          <w:spacing w:val="-4"/>
          <w:sz w:val="32"/>
          <w:szCs w:val="32"/>
        </w:rPr>
        <w:t>在诉前调阶段</w:t>
      </w:r>
      <w:r>
        <w:rPr>
          <w:rFonts w:ascii="仿宋" w:eastAsia="仿宋" w:hAnsi="仿宋" w:hint="eastAsia"/>
          <w:spacing w:val="-4"/>
          <w:sz w:val="32"/>
          <w:szCs w:val="32"/>
        </w:rPr>
        <w:t>精准识别教育</w:t>
      </w:r>
      <w:r w:rsidRPr="00F0235F">
        <w:rPr>
          <w:rFonts w:ascii="仿宋" w:eastAsia="仿宋" w:hAnsi="仿宋" w:hint="eastAsia"/>
          <w:spacing w:val="-4"/>
          <w:sz w:val="32"/>
          <w:szCs w:val="32"/>
        </w:rPr>
        <w:t>培训机构</w:t>
      </w:r>
      <w:r>
        <w:rPr>
          <w:rFonts w:ascii="仿宋" w:eastAsia="仿宋" w:hAnsi="仿宋" w:hint="eastAsia"/>
          <w:spacing w:val="-4"/>
          <w:sz w:val="32"/>
          <w:szCs w:val="32"/>
        </w:rPr>
        <w:t>等经营异常市场主体，直接将债务企业引入</w:t>
      </w:r>
      <w:r w:rsidRPr="00F0235F">
        <w:rPr>
          <w:rFonts w:ascii="仿宋" w:eastAsia="仿宋" w:hAnsi="仿宋" w:hint="eastAsia"/>
          <w:spacing w:val="-4"/>
          <w:sz w:val="32"/>
          <w:szCs w:val="32"/>
        </w:rPr>
        <w:t>破产程序，</w:t>
      </w:r>
      <w:r>
        <w:rPr>
          <w:rFonts w:ascii="仿宋" w:eastAsia="仿宋" w:hAnsi="仿宋" w:hint="eastAsia"/>
          <w:spacing w:val="-4"/>
          <w:sz w:val="32"/>
          <w:szCs w:val="32"/>
        </w:rPr>
        <w:t>合计化解497件教培纠纷</w:t>
      </w:r>
      <w:r w:rsidRPr="00F0235F">
        <w:rPr>
          <w:rFonts w:ascii="仿宋" w:eastAsia="仿宋" w:hAnsi="仿宋" w:hint="eastAsia"/>
          <w:spacing w:val="-4"/>
          <w:sz w:val="32"/>
          <w:szCs w:val="32"/>
        </w:rPr>
        <w:t>，</w:t>
      </w:r>
      <w:r>
        <w:rPr>
          <w:rFonts w:ascii="仿宋" w:eastAsia="仿宋" w:hAnsi="仿宋" w:hint="eastAsia"/>
          <w:spacing w:val="-4"/>
          <w:sz w:val="32"/>
          <w:szCs w:val="32"/>
        </w:rPr>
        <w:t>取得较好的社会效果</w:t>
      </w:r>
      <w:r w:rsidRPr="00F0235F">
        <w:rPr>
          <w:rFonts w:ascii="仿宋" w:eastAsia="仿宋" w:hAnsi="仿宋" w:hint="eastAsia"/>
          <w:spacing w:val="-4"/>
          <w:sz w:val="32"/>
          <w:szCs w:val="32"/>
        </w:rPr>
        <w:t>。</w:t>
      </w:r>
      <w:r w:rsidRPr="00093DE6">
        <w:rPr>
          <w:rFonts w:ascii="仿宋" w:eastAsia="仿宋" w:hAnsi="仿宋" w:hint="eastAsia"/>
          <w:spacing w:val="-4"/>
          <w:sz w:val="32"/>
          <w:szCs w:val="32"/>
        </w:rPr>
        <w:t>市中院启动“执破融合”改革</w:t>
      </w:r>
      <w:r>
        <w:rPr>
          <w:rFonts w:ascii="仿宋" w:eastAsia="仿宋" w:hAnsi="仿宋" w:hint="eastAsia"/>
          <w:spacing w:val="-4"/>
          <w:sz w:val="32"/>
          <w:szCs w:val="32"/>
        </w:rPr>
        <w:t>，通过组建专业化办案团队、构建一体化工作机制、打通信息化办案平台等方式，探索形成债务集中清理大格局，盘活释放要素资源</w:t>
      </w:r>
      <w:r w:rsidRPr="00093DE6">
        <w:rPr>
          <w:rFonts w:ascii="仿宋" w:eastAsia="仿宋" w:hAnsi="仿宋" w:hint="eastAsia"/>
          <w:spacing w:val="-4"/>
          <w:sz w:val="32"/>
          <w:szCs w:val="32"/>
        </w:rPr>
        <w:t>。</w:t>
      </w:r>
      <w:r>
        <w:rPr>
          <w:rFonts w:ascii="仿宋" w:eastAsia="仿宋" w:hAnsi="仿宋" w:hint="eastAsia"/>
          <w:spacing w:val="-4"/>
          <w:sz w:val="32"/>
          <w:szCs w:val="32"/>
        </w:rPr>
        <w:t>该经验</w:t>
      </w:r>
      <w:r w:rsidRPr="00093DE6">
        <w:rPr>
          <w:rFonts w:ascii="仿宋" w:eastAsia="仿宋" w:hAnsi="仿宋" w:hint="eastAsia"/>
          <w:spacing w:val="-4"/>
          <w:sz w:val="32"/>
          <w:szCs w:val="32"/>
        </w:rPr>
        <w:t>获最高人民法院</w:t>
      </w:r>
      <w:r>
        <w:rPr>
          <w:rFonts w:ascii="仿宋" w:eastAsia="仿宋" w:hAnsi="仿宋" w:hint="eastAsia"/>
          <w:spacing w:val="-4"/>
          <w:sz w:val="32"/>
          <w:szCs w:val="32"/>
        </w:rPr>
        <w:t>充分</w:t>
      </w:r>
      <w:r w:rsidRPr="00093DE6">
        <w:rPr>
          <w:rFonts w:ascii="仿宋" w:eastAsia="仿宋" w:hAnsi="仿宋" w:hint="eastAsia"/>
          <w:spacing w:val="-4"/>
          <w:sz w:val="32"/>
          <w:szCs w:val="32"/>
        </w:rPr>
        <w:t>肯定，省法院专门在苏州召开现场会予以推广。</w:t>
      </w:r>
    </w:p>
    <w:p w:rsidR="003B2247" w:rsidRDefault="00ED5118" w:rsidP="00157509">
      <w:pPr>
        <w:adjustRightInd w:val="0"/>
        <w:snapToGrid w:val="0"/>
        <w:spacing w:line="600" w:lineRule="exact"/>
        <w:ind w:firstLineChars="200" w:firstLine="624"/>
        <w:rPr>
          <w:rFonts w:eastAsia="黑体"/>
          <w:color w:val="000000"/>
          <w:spacing w:val="-4"/>
          <w:sz w:val="32"/>
          <w:szCs w:val="32"/>
        </w:rPr>
      </w:pPr>
      <w:r>
        <w:rPr>
          <w:rFonts w:eastAsia="黑体" w:hint="eastAsia"/>
          <w:color w:val="000000"/>
          <w:spacing w:val="-4"/>
          <w:sz w:val="32"/>
          <w:szCs w:val="32"/>
        </w:rPr>
        <w:t>三</w:t>
      </w:r>
      <w:r w:rsidR="0026123D">
        <w:rPr>
          <w:rFonts w:eastAsia="黑体"/>
          <w:color w:val="000000"/>
          <w:spacing w:val="-4"/>
          <w:sz w:val="32"/>
          <w:szCs w:val="32"/>
        </w:rPr>
        <w:t>、破产审判</w:t>
      </w:r>
      <w:r>
        <w:rPr>
          <w:rFonts w:eastAsia="黑体" w:hint="eastAsia"/>
          <w:color w:val="000000"/>
          <w:spacing w:val="-4"/>
          <w:sz w:val="32"/>
          <w:szCs w:val="32"/>
        </w:rPr>
        <w:t>主要工作</w:t>
      </w:r>
      <w:r w:rsidR="0026123D">
        <w:rPr>
          <w:rFonts w:eastAsia="黑体"/>
          <w:color w:val="000000"/>
          <w:spacing w:val="-4"/>
          <w:sz w:val="32"/>
          <w:szCs w:val="32"/>
        </w:rPr>
        <w:t>举措</w:t>
      </w:r>
    </w:p>
    <w:p w:rsidR="00070B52" w:rsidRPr="00E31ADA" w:rsidRDefault="0001050C" w:rsidP="00E31ADA">
      <w:pPr>
        <w:adjustRightInd w:val="0"/>
        <w:snapToGrid w:val="0"/>
        <w:spacing w:line="600" w:lineRule="exact"/>
        <w:ind w:firstLineChars="200" w:firstLine="624"/>
        <w:rPr>
          <w:rFonts w:ascii="楷体" w:eastAsia="楷体" w:hAnsi="楷体"/>
          <w:color w:val="000000"/>
          <w:spacing w:val="-4"/>
          <w:sz w:val="32"/>
          <w:szCs w:val="32"/>
        </w:rPr>
      </w:pPr>
      <w:r>
        <w:rPr>
          <w:rFonts w:ascii="楷体" w:eastAsia="楷体" w:hAnsi="楷体" w:hint="eastAsia"/>
          <w:color w:val="000000"/>
          <w:spacing w:val="-4"/>
          <w:sz w:val="32"/>
          <w:szCs w:val="32"/>
        </w:rPr>
        <w:lastRenderedPageBreak/>
        <w:t>1.</w:t>
      </w:r>
      <w:r w:rsidR="00EE0BF6">
        <w:rPr>
          <w:rFonts w:ascii="楷体" w:eastAsia="楷体" w:hAnsi="楷体" w:hint="eastAsia"/>
          <w:color w:val="000000"/>
          <w:spacing w:val="-4"/>
          <w:sz w:val="32"/>
          <w:szCs w:val="32"/>
        </w:rPr>
        <w:t>创新</w:t>
      </w:r>
      <w:r w:rsidR="00B0046F">
        <w:rPr>
          <w:rFonts w:ascii="楷体" w:eastAsia="楷体" w:hAnsi="楷体" w:hint="eastAsia"/>
          <w:color w:val="000000"/>
          <w:spacing w:val="-4"/>
          <w:sz w:val="32"/>
          <w:szCs w:val="32"/>
        </w:rPr>
        <w:t>困境企业</w:t>
      </w:r>
      <w:r w:rsidR="00ED5118">
        <w:rPr>
          <w:rFonts w:ascii="楷体" w:eastAsia="楷体" w:hAnsi="楷体" w:hint="eastAsia"/>
          <w:color w:val="000000"/>
          <w:spacing w:val="-4"/>
          <w:sz w:val="32"/>
          <w:szCs w:val="32"/>
        </w:rPr>
        <w:t>挽救机制</w:t>
      </w:r>
      <w:r w:rsidR="00E31ADA">
        <w:rPr>
          <w:rFonts w:ascii="楷体" w:eastAsia="楷体" w:hAnsi="楷体" w:hint="eastAsia"/>
          <w:color w:val="000000"/>
          <w:spacing w:val="-4"/>
          <w:sz w:val="32"/>
          <w:szCs w:val="32"/>
        </w:rPr>
        <w:t>。</w:t>
      </w:r>
      <w:r w:rsidR="00093DE6">
        <w:rPr>
          <w:rFonts w:eastAsia="仿宋" w:hint="eastAsia"/>
          <w:sz w:val="32"/>
          <w:szCs w:val="32"/>
        </w:rPr>
        <w:t>整合各方资源优势</w:t>
      </w:r>
      <w:r w:rsidR="00D732FC">
        <w:rPr>
          <w:rFonts w:eastAsia="仿宋" w:hint="eastAsia"/>
          <w:sz w:val="32"/>
          <w:szCs w:val="32"/>
        </w:rPr>
        <w:t>，</w:t>
      </w:r>
      <w:r w:rsidR="00DC4B1A">
        <w:rPr>
          <w:rFonts w:eastAsia="仿宋" w:hint="eastAsia"/>
          <w:sz w:val="32"/>
          <w:szCs w:val="32"/>
        </w:rPr>
        <w:t>拓宽企业纾困渠道，</w:t>
      </w:r>
      <w:r w:rsidR="00D732FC">
        <w:rPr>
          <w:rFonts w:eastAsia="仿宋" w:hint="eastAsia"/>
          <w:sz w:val="32"/>
          <w:szCs w:val="32"/>
        </w:rPr>
        <w:t>促进危困企业重整再生</w:t>
      </w:r>
      <w:r>
        <w:rPr>
          <w:rFonts w:ascii="仿宋" w:eastAsia="仿宋" w:hAnsi="仿宋" w:hint="eastAsia"/>
          <w:spacing w:val="-4"/>
          <w:sz w:val="32"/>
          <w:szCs w:val="32"/>
        </w:rPr>
        <w:t>。</w:t>
      </w:r>
      <w:r w:rsidR="00F94E63">
        <w:rPr>
          <w:rFonts w:ascii="仿宋" w:eastAsia="仿宋" w:hAnsi="仿宋" w:hint="eastAsia"/>
          <w:spacing w:val="-4"/>
          <w:sz w:val="32"/>
          <w:szCs w:val="32"/>
        </w:rPr>
        <w:t>市中院</w:t>
      </w:r>
      <w:r>
        <w:rPr>
          <w:rFonts w:ascii="仿宋" w:eastAsia="仿宋" w:hAnsi="仿宋" w:hint="eastAsia"/>
          <w:spacing w:val="-4"/>
          <w:sz w:val="32"/>
          <w:szCs w:val="32"/>
        </w:rPr>
        <w:t>联合</w:t>
      </w:r>
      <w:r w:rsidR="00F63A2D">
        <w:rPr>
          <w:rFonts w:ascii="仿宋" w:eastAsia="仿宋" w:hAnsi="仿宋" w:hint="eastAsia"/>
          <w:spacing w:val="-4"/>
          <w:sz w:val="32"/>
          <w:szCs w:val="32"/>
        </w:rPr>
        <w:t>相关单位</w:t>
      </w:r>
      <w:r>
        <w:rPr>
          <w:rFonts w:ascii="仿宋" w:eastAsia="仿宋" w:hAnsi="仿宋" w:hint="eastAsia"/>
          <w:spacing w:val="-4"/>
          <w:sz w:val="32"/>
          <w:szCs w:val="32"/>
        </w:rPr>
        <w:t>建立企业庭外债务重组指引中心，为陷入财务困境但仍具</w:t>
      </w:r>
      <w:r w:rsidR="00D732FC">
        <w:rPr>
          <w:rFonts w:ascii="仿宋" w:eastAsia="仿宋" w:hAnsi="仿宋" w:hint="eastAsia"/>
          <w:spacing w:val="-4"/>
          <w:sz w:val="32"/>
          <w:szCs w:val="32"/>
        </w:rPr>
        <w:t>有经营价值和挽救希望的企业</w:t>
      </w:r>
      <w:r w:rsidR="009D71B6">
        <w:rPr>
          <w:rFonts w:ascii="仿宋" w:eastAsia="仿宋" w:hAnsi="仿宋" w:hint="eastAsia"/>
          <w:spacing w:val="-4"/>
          <w:sz w:val="32"/>
          <w:szCs w:val="32"/>
        </w:rPr>
        <w:t>搭建</w:t>
      </w:r>
      <w:r w:rsidR="00D732FC">
        <w:rPr>
          <w:rFonts w:ascii="仿宋" w:eastAsia="仿宋" w:hAnsi="仿宋" w:hint="eastAsia"/>
          <w:spacing w:val="-4"/>
          <w:sz w:val="32"/>
          <w:szCs w:val="32"/>
        </w:rPr>
        <w:t>融资纾困与庭外重组一站式服务平台，</w:t>
      </w:r>
      <w:r w:rsidR="00D732FC" w:rsidRPr="0001050C">
        <w:rPr>
          <w:rFonts w:ascii="仿宋" w:eastAsia="仿宋" w:hAnsi="仿宋" w:hint="eastAsia"/>
          <w:spacing w:val="-4"/>
          <w:sz w:val="32"/>
          <w:szCs w:val="32"/>
        </w:rPr>
        <w:t>有效解决困境企业自主协商手段少、能力弱、规范性不足等问题</w:t>
      </w:r>
      <w:r w:rsidR="00AB03F1">
        <w:rPr>
          <w:rFonts w:ascii="仿宋" w:eastAsia="仿宋" w:hAnsi="仿宋" w:hint="eastAsia"/>
          <w:spacing w:val="-4"/>
          <w:sz w:val="32"/>
          <w:szCs w:val="32"/>
        </w:rPr>
        <w:t>，</w:t>
      </w:r>
      <w:r w:rsidR="00AB03F1" w:rsidRPr="00AB03F1">
        <w:rPr>
          <w:rFonts w:ascii="仿宋" w:eastAsia="仿宋" w:hAnsi="仿宋" w:hint="eastAsia"/>
          <w:spacing w:val="-4"/>
          <w:sz w:val="32"/>
          <w:szCs w:val="32"/>
        </w:rPr>
        <w:t>相关经验被《全国优化营商环境简报》刊发。</w:t>
      </w:r>
      <w:r w:rsidR="00D732FC">
        <w:rPr>
          <w:rFonts w:ascii="仿宋" w:eastAsia="仿宋" w:hAnsi="仿宋" w:hint="eastAsia"/>
          <w:spacing w:val="-4"/>
          <w:sz w:val="32"/>
          <w:szCs w:val="32"/>
        </w:rPr>
        <w:t>中心成立以来，</w:t>
      </w:r>
      <w:r w:rsidR="000D50E4">
        <w:rPr>
          <w:rFonts w:ascii="仿宋" w:eastAsia="仿宋" w:hAnsi="仿宋" w:hint="eastAsia"/>
          <w:spacing w:val="-4"/>
          <w:sz w:val="32"/>
          <w:szCs w:val="32"/>
        </w:rPr>
        <w:t>共有19家困境企业</w:t>
      </w:r>
      <w:r w:rsidR="00D732FC">
        <w:rPr>
          <w:rFonts w:ascii="仿宋" w:eastAsia="仿宋" w:hAnsi="仿宋" w:hint="eastAsia"/>
          <w:spacing w:val="-4"/>
          <w:sz w:val="32"/>
          <w:szCs w:val="32"/>
        </w:rPr>
        <w:t>发起线上申请</w:t>
      </w:r>
      <w:r>
        <w:rPr>
          <w:rFonts w:ascii="仿宋" w:eastAsia="仿宋" w:hAnsi="仿宋" w:hint="eastAsia"/>
          <w:spacing w:val="-4"/>
          <w:sz w:val="32"/>
          <w:szCs w:val="32"/>
        </w:rPr>
        <w:t>，经初步审查具有经营价值和再生希望、拟引入指引中心平台的企业合计15家</w:t>
      </w:r>
      <w:r w:rsidR="00D732FC">
        <w:rPr>
          <w:rFonts w:ascii="仿宋" w:eastAsia="仿宋" w:hAnsi="仿宋" w:hint="eastAsia"/>
          <w:spacing w:val="-4"/>
          <w:sz w:val="32"/>
          <w:szCs w:val="32"/>
        </w:rPr>
        <w:t>。姑苏</w:t>
      </w:r>
      <w:r w:rsidR="001827BF">
        <w:rPr>
          <w:rFonts w:ascii="仿宋" w:eastAsia="仿宋" w:hAnsi="仿宋" w:hint="eastAsia"/>
          <w:spacing w:val="-4"/>
          <w:sz w:val="32"/>
          <w:szCs w:val="32"/>
        </w:rPr>
        <w:t>区人民</w:t>
      </w:r>
      <w:r w:rsidR="00D732FC">
        <w:rPr>
          <w:rFonts w:ascii="仿宋" w:eastAsia="仿宋" w:hAnsi="仿宋" w:hint="eastAsia"/>
          <w:spacing w:val="-4"/>
          <w:sz w:val="32"/>
          <w:szCs w:val="32"/>
        </w:rPr>
        <w:t>法院</w:t>
      </w:r>
      <w:r w:rsidR="00361985">
        <w:rPr>
          <w:rFonts w:ascii="仿宋" w:eastAsia="仿宋" w:hAnsi="仿宋" w:hint="eastAsia"/>
          <w:spacing w:val="-4"/>
          <w:sz w:val="32"/>
          <w:szCs w:val="32"/>
        </w:rPr>
        <w:t>在</w:t>
      </w:r>
      <w:r w:rsidR="00D732FC">
        <w:rPr>
          <w:rFonts w:ascii="仿宋" w:eastAsia="仿宋" w:hAnsi="仿宋" w:hint="eastAsia"/>
          <w:spacing w:val="-4"/>
          <w:sz w:val="32"/>
          <w:szCs w:val="32"/>
        </w:rPr>
        <w:t>审理</w:t>
      </w:r>
      <w:r>
        <w:rPr>
          <w:rFonts w:ascii="仿宋" w:eastAsia="仿宋" w:hAnsi="仿宋" w:hint="eastAsia"/>
          <w:spacing w:val="-4"/>
          <w:sz w:val="32"/>
          <w:szCs w:val="32"/>
        </w:rPr>
        <w:t>某集团预重整案</w:t>
      </w:r>
      <w:r w:rsidR="00D732FC">
        <w:rPr>
          <w:rFonts w:ascii="仿宋" w:eastAsia="仿宋" w:hAnsi="仿宋" w:hint="eastAsia"/>
          <w:spacing w:val="-4"/>
          <w:sz w:val="32"/>
          <w:szCs w:val="32"/>
        </w:rPr>
        <w:t>过程</w:t>
      </w:r>
      <w:r>
        <w:rPr>
          <w:rFonts w:ascii="仿宋" w:eastAsia="仿宋" w:hAnsi="仿宋" w:hint="eastAsia"/>
          <w:spacing w:val="-4"/>
          <w:sz w:val="32"/>
          <w:szCs w:val="32"/>
        </w:rPr>
        <w:t>中，指导管理人</w:t>
      </w:r>
      <w:r w:rsidR="00D732FC">
        <w:rPr>
          <w:rFonts w:ascii="仿宋" w:eastAsia="仿宋" w:hAnsi="仿宋" w:hint="eastAsia"/>
          <w:spacing w:val="-4"/>
          <w:sz w:val="32"/>
          <w:szCs w:val="32"/>
        </w:rPr>
        <w:t>通过指引中心对外发布</w:t>
      </w:r>
      <w:r>
        <w:rPr>
          <w:rFonts w:ascii="仿宋" w:eastAsia="仿宋" w:hAnsi="仿宋" w:hint="eastAsia"/>
          <w:spacing w:val="-4"/>
          <w:sz w:val="32"/>
          <w:szCs w:val="32"/>
        </w:rPr>
        <w:t>重整投资人招募信息，</w:t>
      </w:r>
      <w:r w:rsidR="008968F7">
        <w:rPr>
          <w:rFonts w:ascii="仿宋" w:eastAsia="仿宋" w:hAnsi="仿宋" w:hint="eastAsia"/>
          <w:spacing w:val="-4"/>
          <w:sz w:val="32"/>
          <w:szCs w:val="32"/>
        </w:rPr>
        <w:t>及时引入</w:t>
      </w:r>
      <w:r>
        <w:rPr>
          <w:rFonts w:ascii="仿宋" w:eastAsia="仿宋" w:hAnsi="仿宋" w:hint="eastAsia"/>
          <w:spacing w:val="-4"/>
          <w:sz w:val="32"/>
          <w:szCs w:val="32"/>
        </w:rPr>
        <w:t>1.</w:t>
      </w:r>
      <w:r w:rsidR="00361985">
        <w:rPr>
          <w:rFonts w:ascii="仿宋" w:eastAsia="仿宋" w:hAnsi="仿宋" w:hint="eastAsia"/>
          <w:spacing w:val="-4"/>
          <w:sz w:val="32"/>
          <w:szCs w:val="32"/>
        </w:rPr>
        <w:t>43</w:t>
      </w:r>
      <w:r w:rsidR="008968F7">
        <w:rPr>
          <w:rFonts w:ascii="仿宋" w:eastAsia="仿宋" w:hAnsi="仿宋" w:hint="eastAsia"/>
          <w:spacing w:val="-4"/>
          <w:sz w:val="32"/>
          <w:szCs w:val="32"/>
        </w:rPr>
        <w:t>亿元重整</w:t>
      </w:r>
      <w:r>
        <w:rPr>
          <w:rFonts w:ascii="仿宋" w:eastAsia="仿宋" w:hAnsi="仿宋" w:hint="eastAsia"/>
          <w:spacing w:val="-4"/>
          <w:sz w:val="32"/>
          <w:szCs w:val="32"/>
        </w:rPr>
        <w:t>投资款，</w:t>
      </w:r>
      <w:r w:rsidR="00361985">
        <w:rPr>
          <w:rFonts w:ascii="仿宋" w:eastAsia="仿宋" w:hAnsi="仿宋" w:hint="eastAsia"/>
          <w:spacing w:val="-4"/>
          <w:sz w:val="32"/>
          <w:szCs w:val="32"/>
        </w:rPr>
        <w:t>促进</w:t>
      </w:r>
      <w:r w:rsidR="00D732FC">
        <w:rPr>
          <w:rFonts w:ascii="仿宋" w:eastAsia="仿宋" w:hAnsi="仿宋" w:hint="eastAsia"/>
          <w:spacing w:val="-4"/>
          <w:sz w:val="32"/>
          <w:szCs w:val="32"/>
        </w:rPr>
        <w:t>普通债权清偿率</w:t>
      </w:r>
      <w:r w:rsidR="00BD26E5" w:rsidRPr="00BD26E5">
        <w:rPr>
          <w:rFonts w:ascii="仿宋" w:eastAsia="仿宋" w:hAnsi="仿宋" w:hint="eastAsia"/>
          <w:spacing w:val="-4"/>
          <w:sz w:val="32"/>
          <w:szCs w:val="32"/>
        </w:rPr>
        <w:t>大幅</w:t>
      </w:r>
      <w:r w:rsidR="00361985">
        <w:rPr>
          <w:rFonts w:ascii="仿宋" w:eastAsia="仿宋" w:hAnsi="仿宋" w:hint="eastAsia"/>
          <w:spacing w:val="-4"/>
          <w:sz w:val="32"/>
          <w:szCs w:val="32"/>
        </w:rPr>
        <w:t>提</w:t>
      </w:r>
      <w:r w:rsidR="00361985" w:rsidRPr="00BD26E5">
        <w:rPr>
          <w:rFonts w:ascii="仿宋" w:eastAsia="仿宋" w:hAnsi="仿宋" w:hint="eastAsia"/>
          <w:spacing w:val="-4"/>
          <w:sz w:val="32"/>
          <w:szCs w:val="32"/>
        </w:rPr>
        <w:t>升</w:t>
      </w:r>
      <w:r>
        <w:rPr>
          <w:rFonts w:ascii="仿宋" w:eastAsia="仿宋" w:hAnsi="仿宋" w:hint="eastAsia"/>
          <w:spacing w:val="-4"/>
          <w:sz w:val="32"/>
          <w:szCs w:val="32"/>
        </w:rPr>
        <w:t>。</w:t>
      </w:r>
      <w:r w:rsidR="000D043D">
        <w:rPr>
          <w:rFonts w:ascii="仿宋" w:eastAsia="仿宋" w:hAnsi="仿宋" w:hint="eastAsia"/>
          <w:spacing w:val="-4"/>
          <w:sz w:val="32"/>
          <w:szCs w:val="32"/>
        </w:rPr>
        <w:t>为畅通投资人获取重整企业信息和参与投资渠道，</w:t>
      </w:r>
      <w:r>
        <w:rPr>
          <w:rFonts w:ascii="仿宋" w:eastAsia="仿宋" w:hAnsi="仿宋" w:hint="eastAsia"/>
          <w:spacing w:val="-4"/>
          <w:sz w:val="32"/>
          <w:szCs w:val="32"/>
        </w:rPr>
        <w:t>市中院</w:t>
      </w:r>
      <w:r w:rsidR="00B0046F">
        <w:rPr>
          <w:rFonts w:ascii="仿宋" w:eastAsia="仿宋" w:hAnsi="仿宋" w:hint="eastAsia"/>
          <w:spacing w:val="-4"/>
          <w:sz w:val="32"/>
          <w:szCs w:val="32"/>
        </w:rPr>
        <w:t>还</w:t>
      </w:r>
      <w:r>
        <w:rPr>
          <w:rFonts w:ascii="仿宋" w:eastAsia="仿宋" w:hAnsi="仿宋" w:hint="eastAsia"/>
          <w:spacing w:val="-4"/>
          <w:sz w:val="32"/>
          <w:szCs w:val="32"/>
        </w:rPr>
        <w:t>联合</w:t>
      </w:r>
      <w:r w:rsidR="00F63A2D">
        <w:rPr>
          <w:rFonts w:ascii="仿宋" w:eastAsia="仿宋" w:hAnsi="仿宋" w:hint="eastAsia"/>
          <w:spacing w:val="-4"/>
          <w:sz w:val="32"/>
          <w:szCs w:val="32"/>
        </w:rPr>
        <w:t>相关单位</w:t>
      </w:r>
      <w:r w:rsidR="00782692">
        <w:rPr>
          <w:rFonts w:ascii="仿宋" w:eastAsia="仿宋" w:hAnsi="仿宋" w:hint="eastAsia"/>
          <w:spacing w:val="-4"/>
          <w:sz w:val="32"/>
          <w:szCs w:val="32"/>
        </w:rPr>
        <w:t>成立苏州企业重组投资人库，</w:t>
      </w:r>
      <w:r w:rsidR="000D7346">
        <w:rPr>
          <w:rFonts w:ascii="仿宋" w:eastAsia="仿宋" w:hAnsi="仿宋" w:hint="eastAsia"/>
          <w:spacing w:val="-4"/>
          <w:sz w:val="32"/>
          <w:szCs w:val="32"/>
        </w:rPr>
        <w:t>33家企业成为首批入库的投资人，</w:t>
      </w:r>
      <w:r w:rsidR="00AB03F1">
        <w:rPr>
          <w:rFonts w:ascii="仿宋" w:eastAsia="仿宋" w:hAnsi="仿宋" w:hint="eastAsia"/>
          <w:spacing w:val="-4"/>
          <w:sz w:val="32"/>
          <w:szCs w:val="32"/>
        </w:rPr>
        <w:t>推动</w:t>
      </w:r>
      <w:r w:rsidR="0095478C">
        <w:rPr>
          <w:rFonts w:ascii="仿宋" w:eastAsia="仿宋" w:hAnsi="仿宋" w:hint="eastAsia"/>
          <w:spacing w:val="-4"/>
          <w:sz w:val="32"/>
          <w:szCs w:val="32"/>
        </w:rPr>
        <w:t>提高企业破产重整的效率和成功率</w:t>
      </w:r>
      <w:r>
        <w:rPr>
          <w:rFonts w:ascii="仿宋" w:eastAsia="仿宋" w:hAnsi="仿宋" w:hint="eastAsia"/>
          <w:spacing w:val="-4"/>
          <w:sz w:val="32"/>
          <w:szCs w:val="32"/>
        </w:rPr>
        <w:t>。</w:t>
      </w:r>
    </w:p>
    <w:p w:rsidR="003B2247" w:rsidRPr="00E31ADA" w:rsidRDefault="00BF6080" w:rsidP="00E31ADA">
      <w:pPr>
        <w:adjustRightInd w:val="0"/>
        <w:snapToGrid w:val="0"/>
        <w:spacing w:line="600" w:lineRule="exact"/>
        <w:ind w:firstLineChars="200" w:firstLine="624"/>
        <w:rPr>
          <w:rFonts w:ascii="楷体" w:eastAsia="楷体" w:hAnsi="楷体"/>
          <w:color w:val="000000"/>
          <w:spacing w:val="-4"/>
          <w:sz w:val="32"/>
          <w:szCs w:val="32"/>
        </w:rPr>
      </w:pPr>
      <w:r>
        <w:rPr>
          <w:rFonts w:ascii="楷体" w:eastAsia="楷体" w:hAnsi="楷体" w:hint="eastAsia"/>
          <w:color w:val="000000"/>
          <w:spacing w:val="-4"/>
          <w:sz w:val="32"/>
          <w:szCs w:val="32"/>
        </w:rPr>
        <w:t>2</w:t>
      </w:r>
      <w:r w:rsidR="005018D3">
        <w:rPr>
          <w:rFonts w:ascii="楷体" w:eastAsia="楷体" w:hAnsi="楷体" w:hint="eastAsia"/>
          <w:color w:val="000000"/>
          <w:spacing w:val="-4"/>
          <w:sz w:val="32"/>
          <w:szCs w:val="32"/>
        </w:rPr>
        <w:t>.</w:t>
      </w:r>
      <w:r w:rsidR="00ED5118">
        <w:rPr>
          <w:rFonts w:ascii="楷体" w:eastAsia="楷体" w:hAnsi="楷体" w:hint="eastAsia"/>
          <w:color w:val="000000"/>
          <w:spacing w:val="-4"/>
          <w:sz w:val="32"/>
          <w:szCs w:val="32"/>
        </w:rPr>
        <w:t>持续深化破产府院联动</w:t>
      </w:r>
      <w:r w:rsidR="00E31ADA">
        <w:rPr>
          <w:rFonts w:ascii="楷体" w:eastAsia="楷体" w:hAnsi="楷体" w:hint="eastAsia"/>
          <w:color w:val="000000"/>
          <w:spacing w:val="-4"/>
          <w:sz w:val="32"/>
          <w:szCs w:val="32"/>
        </w:rPr>
        <w:t>。</w:t>
      </w:r>
      <w:r w:rsidR="00BB4F73">
        <w:rPr>
          <w:rFonts w:ascii="仿宋" w:eastAsia="仿宋" w:hAnsi="仿宋" w:hint="eastAsia"/>
          <w:color w:val="000000"/>
          <w:spacing w:val="-4"/>
          <w:sz w:val="32"/>
          <w:szCs w:val="32"/>
        </w:rPr>
        <w:t>细化落实府院联动协调机制，</w:t>
      </w:r>
      <w:r w:rsidR="00DC4B1A">
        <w:rPr>
          <w:rFonts w:ascii="仿宋" w:eastAsia="仿宋" w:hAnsi="仿宋" w:hint="eastAsia"/>
          <w:color w:val="000000"/>
          <w:spacing w:val="-4"/>
          <w:sz w:val="32"/>
          <w:szCs w:val="32"/>
        </w:rPr>
        <w:t>积极</w:t>
      </w:r>
      <w:r>
        <w:rPr>
          <w:rFonts w:ascii="仿宋" w:eastAsia="仿宋" w:hAnsi="仿宋" w:hint="eastAsia"/>
          <w:color w:val="000000"/>
          <w:spacing w:val="-4"/>
          <w:sz w:val="32"/>
          <w:szCs w:val="32"/>
        </w:rPr>
        <w:t>与</w:t>
      </w:r>
      <w:r w:rsidR="006C5033">
        <w:rPr>
          <w:rFonts w:ascii="仿宋" w:eastAsia="仿宋" w:hAnsi="仿宋" w:hint="eastAsia"/>
          <w:color w:val="000000"/>
          <w:spacing w:val="-4"/>
          <w:sz w:val="32"/>
          <w:szCs w:val="32"/>
        </w:rPr>
        <w:t>各联动</w:t>
      </w:r>
      <w:r>
        <w:rPr>
          <w:rFonts w:ascii="仿宋" w:eastAsia="仿宋" w:hAnsi="仿宋" w:hint="eastAsia"/>
          <w:color w:val="000000"/>
          <w:spacing w:val="-4"/>
          <w:sz w:val="32"/>
          <w:szCs w:val="32"/>
        </w:rPr>
        <w:t>单位</w:t>
      </w:r>
      <w:r w:rsidR="000D7346">
        <w:rPr>
          <w:rFonts w:ascii="仿宋" w:eastAsia="仿宋" w:hAnsi="仿宋" w:hint="eastAsia"/>
          <w:color w:val="000000"/>
          <w:spacing w:val="-4"/>
          <w:sz w:val="32"/>
          <w:szCs w:val="32"/>
        </w:rPr>
        <w:t>开展</w:t>
      </w:r>
      <w:r>
        <w:rPr>
          <w:rFonts w:ascii="仿宋" w:eastAsia="仿宋" w:hAnsi="仿宋" w:hint="eastAsia"/>
          <w:color w:val="000000"/>
          <w:spacing w:val="-4"/>
          <w:sz w:val="32"/>
          <w:szCs w:val="32"/>
        </w:rPr>
        <w:t>合作共建，</w:t>
      </w:r>
      <w:r w:rsidR="00DC4B1A" w:rsidRPr="00DC4B1A">
        <w:rPr>
          <w:rFonts w:ascii="仿宋" w:eastAsia="仿宋" w:hAnsi="仿宋" w:hint="eastAsia"/>
          <w:color w:val="000000"/>
          <w:spacing w:val="-4"/>
          <w:sz w:val="32"/>
          <w:szCs w:val="32"/>
        </w:rPr>
        <w:t>推进解决破产程序中存在的体制机制性障碍</w:t>
      </w:r>
      <w:r w:rsidR="00BB4F73">
        <w:rPr>
          <w:rFonts w:ascii="仿宋" w:eastAsia="仿宋" w:hAnsi="仿宋" w:hint="eastAsia"/>
          <w:color w:val="000000"/>
          <w:spacing w:val="-4"/>
          <w:sz w:val="32"/>
          <w:szCs w:val="32"/>
        </w:rPr>
        <w:t>。</w:t>
      </w:r>
      <w:r w:rsidR="000D7346" w:rsidRPr="003A17DA">
        <w:rPr>
          <w:rFonts w:ascii="仿宋" w:eastAsia="仿宋" w:hAnsi="仿宋" w:hint="eastAsia"/>
          <w:color w:val="000000"/>
          <w:spacing w:val="-4"/>
          <w:sz w:val="32"/>
          <w:szCs w:val="32"/>
        </w:rPr>
        <w:t>一是</w:t>
      </w:r>
      <w:r w:rsidR="00AB03F1">
        <w:rPr>
          <w:rFonts w:ascii="仿宋" w:eastAsia="仿宋" w:hAnsi="仿宋" w:hint="eastAsia"/>
          <w:color w:val="000000"/>
          <w:spacing w:val="-4"/>
          <w:sz w:val="32"/>
          <w:szCs w:val="32"/>
        </w:rPr>
        <w:t>借助招商引资</w:t>
      </w:r>
      <w:r w:rsidR="005018D3" w:rsidRPr="00492CD7">
        <w:rPr>
          <w:rFonts w:ascii="仿宋" w:eastAsia="仿宋" w:hAnsi="仿宋" w:hint="eastAsia"/>
          <w:color w:val="000000"/>
          <w:spacing w:val="-4"/>
          <w:sz w:val="32"/>
          <w:szCs w:val="32"/>
        </w:rPr>
        <w:t>市场化平台盘活企业优质资产</w:t>
      </w:r>
      <w:r w:rsidR="00502071">
        <w:rPr>
          <w:rFonts w:ascii="仿宋" w:eastAsia="仿宋" w:hAnsi="仿宋" w:hint="eastAsia"/>
          <w:color w:val="000000"/>
          <w:spacing w:val="-4"/>
          <w:sz w:val="32"/>
          <w:szCs w:val="32"/>
        </w:rPr>
        <w:t>。</w:t>
      </w:r>
      <w:r w:rsidR="005018D3" w:rsidRPr="00492CD7">
        <w:rPr>
          <w:rFonts w:ascii="仿宋" w:eastAsia="仿宋" w:hAnsi="仿宋" w:hint="eastAsia"/>
          <w:color w:val="000000"/>
          <w:spacing w:val="-4"/>
          <w:sz w:val="32"/>
          <w:szCs w:val="32"/>
        </w:rPr>
        <w:t>吴江</w:t>
      </w:r>
      <w:r w:rsidR="00E02B1B">
        <w:rPr>
          <w:rFonts w:ascii="仿宋" w:eastAsia="仿宋" w:hAnsi="仿宋" w:hint="eastAsia"/>
          <w:color w:val="000000"/>
          <w:spacing w:val="-4"/>
          <w:sz w:val="32"/>
          <w:szCs w:val="32"/>
        </w:rPr>
        <w:t>区人民</w:t>
      </w:r>
      <w:r w:rsidR="005018D3" w:rsidRPr="00492CD7">
        <w:rPr>
          <w:rFonts w:ascii="仿宋" w:eastAsia="仿宋" w:hAnsi="仿宋" w:hint="eastAsia"/>
          <w:color w:val="000000"/>
          <w:spacing w:val="-4"/>
          <w:sz w:val="32"/>
          <w:szCs w:val="32"/>
        </w:rPr>
        <w:t>法院联合</w:t>
      </w:r>
      <w:r w:rsidR="00B70004">
        <w:rPr>
          <w:rFonts w:ascii="仿宋" w:eastAsia="仿宋" w:hAnsi="仿宋" w:hint="eastAsia"/>
          <w:color w:val="000000"/>
          <w:spacing w:val="-4"/>
          <w:sz w:val="32"/>
          <w:szCs w:val="32"/>
        </w:rPr>
        <w:t>该</w:t>
      </w:r>
      <w:r w:rsidR="005018D3" w:rsidRPr="00492CD7">
        <w:rPr>
          <w:rFonts w:ascii="仿宋" w:eastAsia="仿宋" w:hAnsi="仿宋" w:hint="eastAsia"/>
          <w:color w:val="000000"/>
          <w:spacing w:val="-4"/>
          <w:sz w:val="32"/>
          <w:szCs w:val="32"/>
        </w:rPr>
        <w:t>区发改委等五部门建立企业破产处置协调联动机制，推送资产、重整投资信息267</w:t>
      </w:r>
      <w:r w:rsidR="00B70004">
        <w:rPr>
          <w:rFonts w:ascii="仿宋" w:eastAsia="仿宋" w:hAnsi="仿宋" w:hint="eastAsia"/>
          <w:color w:val="000000"/>
          <w:spacing w:val="-4"/>
          <w:sz w:val="32"/>
          <w:szCs w:val="32"/>
        </w:rPr>
        <w:t>条</w:t>
      </w:r>
      <w:r w:rsidR="005018D3" w:rsidRPr="00492CD7">
        <w:rPr>
          <w:rFonts w:ascii="仿宋" w:eastAsia="仿宋" w:hAnsi="仿宋" w:hint="eastAsia"/>
          <w:color w:val="000000"/>
          <w:spacing w:val="-4"/>
          <w:sz w:val="32"/>
          <w:szCs w:val="32"/>
        </w:rPr>
        <w:t>。</w:t>
      </w:r>
      <w:r w:rsidR="00BB4F73" w:rsidRPr="00492CD7">
        <w:rPr>
          <w:rFonts w:ascii="仿宋" w:eastAsia="仿宋" w:hAnsi="仿宋" w:hint="eastAsia"/>
          <w:color w:val="000000"/>
          <w:spacing w:val="-4"/>
          <w:sz w:val="32"/>
          <w:szCs w:val="32"/>
        </w:rPr>
        <w:t>常熟</w:t>
      </w:r>
      <w:r w:rsidR="00B70004">
        <w:rPr>
          <w:rFonts w:ascii="仿宋" w:eastAsia="仿宋" w:hAnsi="仿宋" w:hint="eastAsia"/>
          <w:color w:val="000000"/>
          <w:spacing w:val="-4"/>
          <w:sz w:val="32"/>
          <w:szCs w:val="32"/>
        </w:rPr>
        <w:t>市人民</w:t>
      </w:r>
      <w:r w:rsidR="00BB4F73" w:rsidRPr="00492CD7">
        <w:rPr>
          <w:rFonts w:ascii="仿宋" w:eastAsia="仿宋" w:hAnsi="仿宋" w:hint="eastAsia"/>
          <w:color w:val="000000"/>
          <w:spacing w:val="-4"/>
          <w:sz w:val="32"/>
          <w:szCs w:val="32"/>
        </w:rPr>
        <w:t>法院构建低效资产处置府院联动信息化平台，</w:t>
      </w:r>
      <w:r w:rsidR="00502071">
        <w:rPr>
          <w:rFonts w:ascii="仿宋" w:eastAsia="仿宋" w:hAnsi="仿宋" w:hint="eastAsia"/>
          <w:color w:val="000000"/>
          <w:spacing w:val="-4"/>
          <w:sz w:val="32"/>
          <w:szCs w:val="32"/>
        </w:rPr>
        <w:t>开发</w:t>
      </w:r>
      <w:r w:rsidR="0049553E">
        <w:rPr>
          <w:rFonts w:ascii="仿宋" w:eastAsia="仿宋" w:hAnsi="仿宋" w:hint="eastAsia"/>
          <w:color w:val="000000"/>
          <w:spacing w:val="-4"/>
          <w:sz w:val="32"/>
          <w:szCs w:val="32"/>
        </w:rPr>
        <w:t>应用</w:t>
      </w:r>
      <w:r w:rsidR="00502071">
        <w:rPr>
          <w:rFonts w:ascii="仿宋" w:eastAsia="仿宋" w:hAnsi="仿宋" w:hint="eastAsia"/>
          <w:color w:val="000000"/>
          <w:spacing w:val="-4"/>
          <w:sz w:val="32"/>
          <w:szCs w:val="32"/>
        </w:rPr>
        <w:t>破产事务查询、资产处置通报等功能</w:t>
      </w:r>
      <w:r w:rsidR="00AB03F1">
        <w:rPr>
          <w:rFonts w:ascii="仿宋" w:eastAsia="仿宋" w:hAnsi="仿宋" w:hint="eastAsia"/>
          <w:color w:val="000000"/>
          <w:spacing w:val="-4"/>
          <w:sz w:val="32"/>
          <w:szCs w:val="32"/>
        </w:rPr>
        <w:t>，提供低效资产处置</w:t>
      </w:r>
      <w:r w:rsidR="00BB4F73" w:rsidRPr="00492CD7">
        <w:rPr>
          <w:rFonts w:ascii="仿宋" w:eastAsia="仿宋" w:hAnsi="仿宋" w:hint="eastAsia"/>
          <w:color w:val="000000"/>
          <w:spacing w:val="-4"/>
          <w:sz w:val="32"/>
          <w:szCs w:val="32"/>
        </w:rPr>
        <w:t>全流程服务。</w:t>
      </w:r>
      <w:r w:rsidR="005018D3" w:rsidRPr="00492CD7">
        <w:rPr>
          <w:rFonts w:ascii="仿宋" w:eastAsia="仿宋" w:hAnsi="仿宋" w:hint="eastAsia"/>
          <w:color w:val="000000"/>
          <w:spacing w:val="-4"/>
          <w:sz w:val="32"/>
          <w:szCs w:val="32"/>
        </w:rPr>
        <w:t>虎丘</w:t>
      </w:r>
      <w:r w:rsidR="0049553E">
        <w:rPr>
          <w:rFonts w:ascii="仿宋" w:eastAsia="仿宋" w:hAnsi="仿宋" w:hint="eastAsia"/>
          <w:color w:val="000000"/>
          <w:spacing w:val="-4"/>
          <w:sz w:val="32"/>
          <w:szCs w:val="32"/>
        </w:rPr>
        <w:t>区人民</w:t>
      </w:r>
      <w:r w:rsidR="005018D3" w:rsidRPr="00492CD7">
        <w:rPr>
          <w:rFonts w:ascii="仿宋" w:eastAsia="仿宋" w:hAnsi="仿宋" w:hint="eastAsia"/>
          <w:color w:val="000000"/>
          <w:spacing w:val="-4"/>
          <w:sz w:val="32"/>
          <w:szCs w:val="32"/>
        </w:rPr>
        <w:t>法院、相城</w:t>
      </w:r>
      <w:r w:rsidR="0049553E">
        <w:rPr>
          <w:rFonts w:ascii="仿宋" w:eastAsia="仿宋" w:hAnsi="仿宋" w:hint="eastAsia"/>
          <w:color w:val="000000"/>
          <w:spacing w:val="-4"/>
          <w:sz w:val="32"/>
          <w:szCs w:val="32"/>
        </w:rPr>
        <w:t>区人民</w:t>
      </w:r>
      <w:r w:rsidR="00AB03F1">
        <w:rPr>
          <w:rFonts w:ascii="仿宋" w:eastAsia="仿宋" w:hAnsi="仿宋" w:hint="eastAsia"/>
          <w:color w:val="000000"/>
          <w:spacing w:val="-4"/>
          <w:sz w:val="32"/>
          <w:szCs w:val="32"/>
        </w:rPr>
        <w:t>法院</w:t>
      </w:r>
      <w:r w:rsidR="005018D3" w:rsidRPr="00492CD7">
        <w:rPr>
          <w:rFonts w:ascii="仿宋" w:eastAsia="仿宋" w:hAnsi="仿宋" w:hint="eastAsia"/>
          <w:color w:val="000000"/>
          <w:spacing w:val="-4"/>
          <w:sz w:val="32"/>
          <w:szCs w:val="32"/>
        </w:rPr>
        <w:t>均与</w:t>
      </w:r>
      <w:r w:rsidR="00155FF9">
        <w:rPr>
          <w:rFonts w:ascii="仿宋" w:eastAsia="仿宋" w:hAnsi="仿宋" w:hint="eastAsia"/>
          <w:color w:val="000000"/>
          <w:spacing w:val="-4"/>
          <w:sz w:val="32"/>
          <w:szCs w:val="32"/>
        </w:rPr>
        <w:t>当地</w:t>
      </w:r>
      <w:r w:rsidR="00AB03F1">
        <w:rPr>
          <w:rFonts w:ascii="仿宋" w:eastAsia="仿宋" w:hAnsi="仿宋" w:hint="eastAsia"/>
          <w:color w:val="000000"/>
          <w:spacing w:val="-4"/>
          <w:sz w:val="32"/>
          <w:szCs w:val="32"/>
        </w:rPr>
        <w:t>商务部门</w:t>
      </w:r>
      <w:r w:rsidR="005018D3" w:rsidRPr="00492CD7">
        <w:rPr>
          <w:rFonts w:ascii="仿宋" w:eastAsia="仿宋" w:hAnsi="仿宋" w:hint="eastAsia"/>
          <w:color w:val="000000"/>
          <w:spacing w:val="-4"/>
          <w:sz w:val="32"/>
          <w:szCs w:val="32"/>
        </w:rPr>
        <w:t>联合出台破产处置与招商引资对接机制。</w:t>
      </w:r>
      <w:r w:rsidR="000D7346" w:rsidRPr="003A17DA">
        <w:rPr>
          <w:rFonts w:ascii="仿宋" w:eastAsia="仿宋" w:hAnsi="仿宋" w:hint="eastAsia"/>
          <w:color w:val="000000"/>
          <w:spacing w:val="-4"/>
          <w:sz w:val="32"/>
          <w:szCs w:val="32"/>
        </w:rPr>
        <w:t>二是</w:t>
      </w:r>
      <w:r w:rsidR="00502071">
        <w:rPr>
          <w:rFonts w:ascii="仿宋" w:eastAsia="仿宋" w:hAnsi="仿宋" w:hint="eastAsia"/>
          <w:color w:val="000000"/>
          <w:spacing w:val="-4"/>
          <w:sz w:val="32"/>
          <w:szCs w:val="32"/>
        </w:rPr>
        <w:t>协调税务部门加大对破产处置的税收支持。</w:t>
      </w:r>
      <w:r w:rsidR="00AB03F1">
        <w:rPr>
          <w:rFonts w:ascii="仿宋" w:eastAsia="仿宋" w:hAnsi="仿宋" w:hint="eastAsia"/>
          <w:spacing w:val="-4"/>
          <w:sz w:val="32"/>
          <w:szCs w:val="32"/>
        </w:rPr>
        <w:t>苏州市</w:t>
      </w:r>
      <w:r w:rsidR="00AB03F1" w:rsidRPr="00BB4F73">
        <w:rPr>
          <w:rFonts w:ascii="仿宋" w:eastAsia="仿宋" w:hAnsi="仿宋" w:hint="eastAsia"/>
          <w:spacing w:val="-4"/>
          <w:sz w:val="32"/>
          <w:szCs w:val="32"/>
        </w:rPr>
        <w:t>吴江</w:t>
      </w:r>
      <w:r w:rsidR="00AB03F1">
        <w:rPr>
          <w:rFonts w:ascii="仿宋" w:eastAsia="仿宋" w:hAnsi="仿宋" w:hint="eastAsia"/>
          <w:spacing w:val="-4"/>
          <w:sz w:val="32"/>
          <w:szCs w:val="32"/>
        </w:rPr>
        <w:t>区</w:t>
      </w:r>
      <w:r w:rsidR="00AB03F1" w:rsidRPr="00BB4F73">
        <w:rPr>
          <w:rFonts w:ascii="仿宋" w:eastAsia="仿宋" w:hAnsi="仿宋" w:hint="eastAsia"/>
          <w:spacing w:val="-4"/>
          <w:sz w:val="32"/>
          <w:szCs w:val="32"/>
        </w:rPr>
        <w:t>、</w:t>
      </w:r>
      <w:r w:rsidR="00155FF9">
        <w:rPr>
          <w:rFonts w:ascii="仿宋" w:eastAsia="仿宋" w:hAnsi="仿宋" w:hint="eastAsia"/>
          <w:color w:val="000000"/>
          <w:spacing w:val="-4"/>
          <w:sz w:val="32"/>
          <w:szCs w:val="32"/>
        </w:rPr>
        <w:t>上</w:t>
      </w:r>
      <w:r w:rsidR="00155FF9">
        <w:rPr>
          <w:rFonts w:ascii="仿宋" w:eastAsia="仿宋" w:hAnsi="仿宋" w:hint="eastAsia"/>
          <w:color w:val="000000"/>
          <w:spacing w:val="-4"/>
          <w:sz w:val="32"/>
          <w:szCs w:val="32"/>
        </w:rPr>
        <w:lastRenderedPageBreak/>
        <w:t>海市</w:t>
      </w:r>
      <w:r w:rsidR="00502071" w:rsidRPr="00BB4F73">
        <w:rPr>
          <w:rFonts w:ascii="仿宋" w:eastAsia="仿宋" w:hAnsi="仿宋" w:hint="eastAsia"/>
          <w:spacing w:val="-4"/>
          <w:sz w:val="32"/>
          <w:szCs w:val="32"/>
        </w:rPr>
        <w:t>青浦</w:t>
      </w:r>
      <w:r w:rsidR="00155FF9">
        <w:rPr>
          <w:rFonts w:ascii="仿宋" w:eastAsia="仿宋" w:hAnsi="仿宋" w:hint="eastAsia"/>
          <w:spacing w:val="-4"/>
          <w:sz w:val="32"/>
          <w:szCs w:val="32"/>
        </w:rPr>
        <w:t>区</w:t>
      </w:r>
      <w:r w:rsidR="00502071" w:rsidRPr="00BB4F73">
        <w:rPr>
          <w:rFonts w:ascii="仿宋" w:eastAsia="仿宋" w:hAnsi="仿宋" w:hint="eastAsia"/>
          <w:spacing w:val="-4"/>
          <w:sz w:val="32"/>
          <w:szCs w:val="32"/>
        </w:rPr>
        <w:t>、</w:t>
      </w:r>
      <w:r w:rsidR="00155FF9">
        <w:rPr>
          <w:rFonts w:ascii="仿宋" w:eastAsia="仿宋" w:hAnsi="仿宋" w:hint="eastAsia"/>
          <w:spacing w:val="-4"/>
          <w:sz w:val="32"/>
          <w:szCs w:val="32"/>
        </w:rPr>
        <w:t>浙江省</w:t>
      </w:r>
      <w:r w:rsidR="00502071" w:rsidRPr="00BB4F73">
        <w:rPr>
          <w:rFonts w:ascii="仿宋" w:eastAsia="仿宋" w:hAnsi="仿宋" w:hint="eastAsia"/>
          <w:spacing w:val="-4"/>
          <w:sz w:val="32"/>
          <w:szCs w:val="32"/>
        </w:rPr>
        <w:t>嘉善</w:t>
      </w:r>
      <w:r w:rsidR="00155FF9">
        <w:rPr>
          <w:rFonts w:ascii="仿宋" w:eastAsia="仿宋" w:hAnsi="仿宋" w:hint="eastAsia"/>
          <w:spacing w:val="-4"/>
          <w:sz w:val="32"/>
          <w:szCs w:val="32"/>
        </w:rPr>
        <w:t>县</w:t>
      </w:r>
      <w:r w:rsidR="00502071" w:rsidRPr="00BB4F73">
        <w:rPr>
          <w:rFonts w:ascii="仿宋" w:eastAsia="仿宋" w:hAnsi="仿宋" w:hint="eastAsia"/>
          <w:spacing w:val="-4"/>
          <w:sz w:val="32"/>
          <w:szCs w:val="32"/>
        </w:rPr>
        <w:t>三地</w:t>
      </w:r>
      <w:r w:rsidR="00155FF9">
        <w:rPr>
          <w:rFonts w:ascii="仿宋" w:eastAsia="仿宋" w:hAnsi="仿宋" w:hint="eastAsia"/>
          <w:spacing w:val="-4"/>
          <w:sz w:val="32"/>
          <w:szCs w:val="32"/>
        </w:rPr>
        <w:t>法检、税务部门共同</w:t>
      </w:r>
      <w:r w:rsidR="00502071" w:rsidRPr="00BB4F73">
        <w:rPr>
          <w:rFonts w:ascii="仿宋" w:eastAsia="仿宋" w:hAnsi="仿宋" w:hint="eastAsia"/>
          <w:spacing w:val="-4"/>
          <w:sz w:val="32"/>
          <w:szCs w:val="32"/>
        </w:rPr>
        <w:t>签署《破产案件涉税协作机制优化营商环境的实施意见》，优化破产涉税事项办理流程，提高破产案件办理效率，被《中国税务报》整版报道。2022年，三地清偿税收债权2.95亿元，协助缴纳税金8761.31万元，</w:t>
      </w:r>
      <w:r w:rsidR="00E73AFA">
        <w:rPr>
          <w:rFonts w:ascii="仿宋" w:eastAsia="仿宋" w:hAnsi="仿宋" w:hint="eastAsia"/>
          <w:spacing w:val="-4"/>
          <w:sz w:val="32"/>
          <w:szCs w:val="32"/>
        </w:rPr>
        <w:t>为企业</w:t>
      </w:r>
      <w:r w:rsidR="00C556C0">
        <w:rPr>
          <w:rFonts w:ascii="仿宋" w:eastAsia="仿宋" w:hAnsi="仿宋" w:hint="eastAsia"/>
          <w:spacing w:val="-4"/>
          <w:sz w:val="32"/>
          <w:szCs w:val="32"/>
        </w:rPr>
        <w:t>提供</w:t>
      </w:r>
      <w:r w:rsidR="00502071" w:rsidRPr="009F6D62">
        <w:rPr>
          <w:rFonts w:ascii="仿宋" w:eastAsia="仿宋" w:hAnsi="仿宋" w:hint="eastAsia"/>
          <w:spacing w:val="-4"/>
          <w:sz w:val="32"/>
          <w:szCs w:val="32"/>
        </w:rPr>
        <w:t>税收优惠</w:t>
      </w:r>
      <w:r w:rsidR="00502071" w:rsidRPr="009F6D62">
        <w:rPr>
          <w:rFonts w:ascii="仿宋" w:eastAsia="仿宋" w:hAnsi="仿宋"/>
          <w:spacing w:val="-4"/>
          <w:sz w:val="32"/>
          <w:szCs w:val="32"/>
        </w:rPr>
        <w:t>193.6万元，</w:t>
      </w:r>
      <w:r w:rsidR="00502071" w:rsidRPr="00BB4F73">
        <w:rPr>
          <w:rFonts w:ascii="仿宋" w:eastAsia="仿宋" w:hAnsi="仿宋" w:hint="eastAsia"/>
          <w:spacing w:val="-4"/>
          <w:sz w:val="32"/>
          <w:szCs w:val="32"/>
        </w:rPr>
        <w:t>帮助重整、和解企业进行纳税信用修复36次。</w:t>
      </w:r>
      <w:r w:rsidR="000D7346" w:rsidRPr="00157509">
        <w:rPr>
          <w:rFonts w:ascii="仿宋" w:eastAsia="仿宋" w:hAnsi="仿宋" w:hint="eastAsia"/>
          <w:color w:val="000000"/>
          <w:spacing w:val="-4"/>
          <w:sz w:val="32"/>
          <w:szCs w:val="32"/>
        </w:rPr>
        <w:t>三是</w:t>
      </w:r>
      <w:r w:rsidR="0011151B">
        <w:rPr>
          <w:rFonts w:ascii="仿宋" w:eastAsia="仿宋" w:hAnsi="仿宋" w:hint="eastAsia"/>
          <w:spacing w:val="-4"/>
          <w:sz w:val="32"/>
          <w:szCs w:val="32"/>
        </w:rPr>
        <w:t>联合有关单位消除破产企业安全管理盲区</w:t>
      </w:r>
      <w:r w:rsidR="00502071">
        <w:rPr>
          <w:rFonts w:ascii="仿宋" w:eastAsia="仿宋" w:hAnsi="仿宋" w:hint="eastAsia"/>
          <w:spacing w:val="-4"/>
          <w:sz w:val="32"/>
          <w:szCs w:val="32"/>
        </w:rPr>
        <w:t>。</w:t>
      </w:r>
      <w:r w:rsidR="00BB4F73" w:rsidRPr="00BB4F73">
        <w:rPr>
          <w:rFonts w:ascii="仿宋" w:eastAsia="仿宋" w:hAnsi="仿宋" w:hint="eastAsia"/>
          <w:spacing w:val="-4"/>
          <w:sz w:val="32"/>
          <w:szCs w:val="32"/>
        </w:rPr>
        <w:t>常熟</w:t>
      </w:r>
      <w:r w:rsidR="0030356A">
        <w:rPr>
          <w:rFonts w:ascii="仿宋" w:eastAsia="仿宋" w:hAnsi="仿宋" w:hint="eastAsia"/>
          <w:spacing w:val="-4"/>
          <w:sz w:val="32"/>
          <w:szCs w:val="32"/>
        </w:rPr>
        <w:t>市人民</w:t>
      </w:r>
      <w:r w:rsidR="00BB4F73" w:rsidRPr="00BB4F73">
        <w:rPr>
          <w:rFonts w:ascii="仿宋" w:eastAsia="仿宋" w:hAnsi="仿宋" w:hint="eastAsia"/>
          <w:spacing w:val="-4"/>
          <w:sz w:val="32"/>
          <w:szCs w:val="32"/>
        </w:rPr>
        <w:t>法院与</w:t>
      </w:r>
      <w:r w:rsidR="0030356A">
        <w:rPr>
          <w:rFonts w:ascii="仿宋" w:eastAsia="仿宋" w:hAnsi="仿宋" w:hint="eastAsia"/>
          <w:spacing w:val="-4"/>
          <w:sz w:val="32"/>
          <w:szCs w:val="32"/>
        </w:rPr>
        <w:t>该市</w:t>
      </w:r>
      <w:r w:rsidR="00BB4F73" w:rsidRPr="00BB4F73">
        <w:rPr>
          <w:rFonts w:ascii="仿宋" w:eastAsia="仿宋" w:hAnsi="仿宋" w:hint="eastAsia"/>
          <w:spacing w:val="-4"/>
          <w:sz w:val="32"/>
          <w:szCs w:val="32"/>
        </w:rPr>
        <w:t>应急</w:t>
      </w:r>
      <w:r w:rsidR="0030356A">
        <w:rPr>
          <w:rFonts w:ascii="仿宋" w:eastAsia="仿宋" w:hAnsi="仿宋" w:hint="eastAsia"/>
          <w:spacing w:val="-4"/>
          <w:sz w:val="32"/>
          <w:szCs w:val="32"/>
        </w:rPr>
        <w:t>管理</w:t>
      </w:r>
      <w:r w:rsidR="00BB4F73" w:rsidRPr="00BB4F73">
        <w:rPr>
          <w:rFonts w:ascii="仿宋" w:eastAsia="仿宋" w:hAnsi="仿宋" w:hint="eastAsia"/>
          <w:spacing w:val="-4"/>
          <w:sz w:val="32"/>
          <w:szCs w:val="32"/>
        </w:rPr>
        <w:t>局、工信局、生态环境局、市监局、消防大队签订《常熟市破产企业安全生产工作协作备忘录》，</w:t>
      </w:r>
      <w:r w:rsidR="0011151B">
        <w:rPr>
          <w:rFonts w:ascii="仿宋" w:eastAsia="仿宋" w:hAnsi="仿宋" w:hint="eastAsia"/>
          <w:spacing w:val="-4"/>
          <w:sz w:val="32"/>
          <w:szCs w:val="32"/>
        </w:rPr>
        <w:t>压实</w:t>
      </w:r>
      <w:r w:rsidR="00DC4B1A">
        <w:rPr>
          <w:rFonts w:ascii="仿宋" w:eastAsia="仿宋" w:hAnsi="仿宋" w:hint="eastAsia"/>
          <w:spacing w:val="-4"/>
          <w:sz w:val="32"/>
          <w:szCs w:val="32"/>
        </w:rPr>
        <w:t>各方</w:t>
      </w:r>
      <w:r w:rsidR="0011151B">
        <w:rPr>
          <w:rFonts w:ascii="仿宋" w:eastAsia="仿宋" w:hAnsi="仿宋" w:hint="eastAsia"/>
          <w:spacing w:val="-4"/>
          <w:sz w:val="32"/>
          <w:szCs w:val="32"/>
        </w:rPr>
        <w:t>安全责任，防范化解企业在破产</w:t>
      </w:r>
      <w:r w:rsidR="0030356A">
        <w:rPr>
          <w:rFonts w:ascii="仿宋" w:eastAsia="仿宋" w:hAnsi="仿宋" w:hint="eastAsia"/>
          <w:spacing w:val="-4"/>
          <w:sz w:val="32"/>
          <w:szCs w:val="32"/>
        </w:rPr>
        <w:t>处置</w:t>
      </w:r>
      <w:r w:rsidR="0011151B">
        <w:rPr>
          <w:rFonts w:ascii="仿宋" w:eastAsia="仿宋" w:hAnsi="仿宋" w:hint="eastAsia"/>
          <w:spacing w:val="-4"/>
          <w:sz w:val="32"/>
          <w:szCs w:val="32"/>
        </w:rPr>
        <w:t>中的安全</w:t>
      </w:r>
      <w:r w:rsidR="00AB03F1">
        <w:rPr>
          <w:rFonts w:ascii="仿宋" w:eastAsia="仿宋" w:hAnsi="仿宋" w:hint="eastAsia"/>
          <w:spacing w:val="-4"/>
          <w:sz w:val="32"/>
          <w:szCs w:val="32"/>
        </w:rPr>
        <w:t>风险</w:t>
      </w:r>
      <w:r w:rsidR="0011151B">
        <w:rPr>
          <w:rFonts w:ascii="仿宋" w:eastAsia="仿宋" w:hAnsi="仿宋" w:hint="eastAsia"/>
          <w:spacing w:val="-4"/>
          <w:sz w:val="32"/>
          <w:szCs w:val="32"/>
        </w:rPr>
        <w:t>。</w:t>
      </w:r>
      <w:r w:rsidR="0011151B" w:rsidRPr="00157509">
        <w:rPr>
          <w:rFonts w:ascii="仿宋" w:eastAsia="仿宋" w:hAnsi="仿宋" w:hint="eastAsia"/>
          <w:color w:val="000000"/>
          <w:spacing w:val="-4"/>
          <w:sz w:val="32"/>
          <w:szCs w:val="32"/>
        </w:rPr>
        <w:t>四是</w:t>
      </w:r>
      <w:r w:rsidR="00934C34">
        <w:rPr>
          <w:rFonts w:ascii="仿宋" w:eastAsia="仿宋" w:hAnsi="仿宋" w:hint="eastAsia"/>
          <w:spacing w:val="-4"/>
          <w:sz w:val="32"/>
          <w:szCs w:val="32"/>
        </w:rPr>
        <w:t>推进府院联动协调机制下沉基层</w:t>
      </w:r>
      <w:r w:rsidR="0011151B">
        <w:rPr>
          <w:rFonts w:ascii="仿宋" w:eastAsia="仿宋" w:hAnsi="仿宋" w:hint="eastAsia"/>
          <w:spacing w:val="-4"/>
          <w:sz w:val="32"/>
          <w:szCs w:val="32"/>
        </w:rPr>
        <w:t>。</w:t>
      </w:r>
      <w:r w:rsidR="00BB4F73" w:rsidRPr="00BB4F73">
        <w:rPr>
          <w:rFonts w:ascii="仿宋" w:eastAsia="仿宋" w:hAnsi="仿宋" w:hint="eastAsia"/>
          <w:spacing w:val="-4"/>
          <w:sz w:val="32"/>
          <w:szCs w:val="32"/>
        </w:rPr>
        <w:t>张家港</w:t>
      </w:r>
      <w:r w:rsidR="009C4172">
        <w:rPr>
          <w:rFonts w:ascii="仿宋" w:eastAsia="仿宋" w:hAnsi="仿宋" w:hint="eastAsia"/>
          <w:spacing w:val="-4"/>
          <w:sz w:val="32"/>
          <w:szCs w:val="32"/>
        </w:rPr>
        <w:t>市人民</w:t>
      </w:r>
      <w:r w:rsidR="00BB4F73" w:rsidRPr="00BB4F73">
        <w:rPr>
          <w:rFonts w:ascii="仿宋" w:eastAsia="仿宋" w:hAnsi="仿宋" w:hint="eastAsia"/>
          <w:spacing w:val="-4"/>
          <w:sz w:val="32"/>
          <w:szCs w:val="32"/>
        </w:rPr>
        <w:t>法院</w:t>
      </w:r>
      <w:r w:rsidR="0048017F" w:rsidRPr="00BB4F73">
        <w:rPr>
          <w:rFonts w:ascii="仿宋" w:eastAsia="仿宋" w:hAnsi="仿宋" w:hint="eastAsia"/>
          <w:spacing w:val="-4"/>
          <w:sz w:val="32"/>
          <w:szCs w:val="32"/>
        </w:rPr>
        <w:t>与各主要镇区建立协调对接子机制</w:t>
      </w:r>
      <w:r w:rsidR="00DB5866">
        <w:rPr>
          <w:rFonts w:ascii="仿宋" w:eastAsia="仿宋" w:hAnsi="仿宋" w:hint="eastAsia"/>
          <w:spacing w:val="-4"/>
          <w:sz w:val="32"/>
          <w:szCs w:val="32"/>
        </w:rPr>
        <w:t>，</w:t>
      </w:r>
      <w:r w:rsidR="00BB4F73" w:rsidRPr="00BB4F73">
        <w:rPr>
          <w:rFonts w:ascii="仿宋" w:eastAsia="仿宋" w:hAnsi="仿宋" w:hint="eastAsia"/>
          <w:spacing w:val="-4"/>
          <w:sz w:val="32"/>
          <w:szCs w:val="32"/>
        </w:rPr>
        <w:t>有效解决阻碍破产进程的难点、痛点和堵点</w:t>
      </w:r>
      <w:r w:rsidR="009C4172">
        <w:rPr>
          <w:rFonts w:ascii="仿宋" w:eastAsia="仿宋" w:hAnsi="仿宋" w:hint="eastAsia"/>
          <w:spacing w:val="-4"/>
          <w:sz w:val="32"/>
          <w:szCs w:val="32"/>
        </w:rPr>
        <w:t>问题</w:t>
      </w:r>
      <w:r w:rsidR="00BB4F73" w:rsidRPr="00BB4F73">
        <w:rPr>
          <w:rFonts w:ascii="仿宋" w:eastAsia="仿宋" w:hAnsi="仿宋" w:hint="eastAsia"/>
          <w:spacing w:val="-4"/>
          <w:sz w:val="32"/>
          <w:szCs w:val="32"/>
        </w:rPr>
        <w:t>。</w:t>
      </w:r>
    </w:p>
    <w:p w:rsidR="00BF6080" w:rsidRPr="00E31ADA" w:rsidRDefault="00BF6080" w:rsidP="00E31ADA">
      <w:pPr>
        <w:adjustRightInd w:val="0"/>
        <w:snapToGrid w:val="0"/>
        <w:spacing w:line="600" w:lineRule="exact"/>
        <w:ind w:firstLineChars="200" w:firstLine="624"/>
        <w:rPr>
          <w:rFonts w:ascii="楷体" w:eastAsia="楷体" w:hAnsi="楷体"/>
          <w:spacing w:val="-4"/>
          <w:sz w:val="32"/>
          <w:szCs w:val="32"/>
        </w:rPr>
      </w:pPr>
      <w:r w:rsidRPr="00EE0BF6">
        <w:rPr>
          <w:rFonts w:ascii="楷体" w:eastAsia="楷体" w:hAnsi="楷体" w:hint="eastAsia"/>
          <w:spacing w:val="-4"/>
          <w:sz w:val="32"/>
          <w:szCs w:val="32"/>
        </w:rPr>
        <w:t>3</w:t>
      </w:r>
      <w:r w:rsidR="007536E5" w:rsidRPr="00EE0BF6">
        <w:rPr>
          <w:rFonts w:ascii="楷体" w:eastAsia="楷体" w:hAnsi="楷体" w:hint="eastAsia"/>
          <w:spacing w:val="-4"/>
          <w:sz w:val="32"/>
          <w:szCs w:val="32"/>
        </w:rPr>
        <w:t>.</w:t>
      </w:r>
      <w:r w:rsidR="00ED5118" w:rsidRPr="00D9004D">
        <w:rPr>
          <w:rFonts w:ascii="楷体" w:eastAsia="楷体" w:hAnsi="楷体" w:hint="eastAsia"/>
          <w:sz w:val="32"/>
          <w:szCs w:val="32"/>
        </w:rPr>
        <w:t>加强信息技术深度应用</w:t>
      </w:r>
      <w:r w:rsidR="00E31ADA">
        <w:rPr>
          <w:rFonts w:ascii="楷体" w:eastAsia="楷体" w:hAnsi="楷体" w:hint="eastAsia"/>
          <w:spacing w:val="-4"/>
          <w:sz w:val="32"/>
          <w:szCs w:val="32"/>
        </w:rPr>
        <w:t>。</w:t>
      </w:r>
      <w:r w:rsidR="00093DE6" w:rsidRPr="00093DE6">
        <w:rPr>
          <w:rFonts w:ascii="仿宋" w:eastAsia="仿宋" w:hAnsi="仿宋" w:hint="eastAsia"/>
          <w:color w:val="000000"/>
          <w:spacing w:val="-4"/>
          <w:sz w:val="32"/>
          <w:szCs w:val="32"/>
        </w:rPr>
        <w:t>着力推进破产审判</w:t>
      </w:r>
      <w:r w:rsidR="00873F01">
        <w:rPr>
          <w:rFonts w:ascii="仿宋" w:eastAsia="仿宋" w:hAnsi="仿宋" w:hint="eastAsia"/>
          <w:color w:val="000000"/>
          <w:spacing w:val="-4"/>
          <w:sz w:val="32"/>
          <w:szCs w:val="32"/>
        </w:rPr>
        <w:t>内部管理</w:t>
      </w:r>
      <w:r w:rsidR="00435E9D">
        <w:rPr>
          <w:rFonts w:ascii="仿宋" w:eastAsia="仿宋" w:hAnsi="仿宋" w:hint="eastAsia"/>
          <w:color w:val="000000"/>
          <w:spacing w:val="-4"/>
          <w:sz w:val="32"/>
          <w:szCs w:val="32"/>
        </w:rPr>
        <w:t>、</w:t>
      </w:r>
      <w:r w:rsidR="00873F01">
        <w:rPr>
          <w:rFonts w:ascii="仿宋" w:eastAsia="仿宋" w:hAnsi="仿宋" w:hint="eastAsia"/>
          <w:color w:val="000000"/>
          <w:spacing w:val="-4"/>
          <w:sz w:val="32"/>
          <w:szCs w:val="32"/>
        </w:rPr>
        <w:t>外部联</w:t>
      </w:r>
      <w:r w:rsidR="00DC4B1A">
        <w:rPr>
          <w:rFonts w:ascii="仿宋" w:eastAsia="仿宋" w:hAnsi="仿宋" w:hint="eastAsia"/>
          <w:color w:val="000000"/>
          <w:spacing w:val="-4"/>
          <w:sz w:val="32"/>
          <w:szCs w:val="32"/>
        </w:rPr>
        <w:t>通</w:t>
      </w:r>
      <w:r w:rsidR="00093DE6" w:rsidRPr="00093DE6">
        <w:rPr>
          <w:rFonts w:ascii="仿宋" w:eastAsia="仿宋" w:hAnsi="仿宋" w:hint="eastAsia"/>
          <w:color w:val="000000"/>
          <w:spacing w:val="-4"/>
          <w:sz w:val="32"/>
          <w:szCs w:val="32"/>
        </w:rPr>
        <w:t>信息化建设，不断探索信息系统平台深化</w:t>
      </w:r>
      <w:r w:rsidR="00873F01">
        <w:rPr>
          <w:rFonts w:ascii="仿宋" w:eastAsia="仿宋" w:hAnsi="仿宋" w:hint="eastAsia"/>
          <w:color w:val="000000"/>
          <w:spacing w:val="-4"/>
          <w:sz w:val="32"/>
          <w:szCs w:val="32"/>
        </w:rPr>
        <w:t>应用</w:t>
      </w:r>
      <w:r w:rsidR="00093DE6" w:rsidRPr="00093DE6">
        <w:rPr>
          <w:rFonts w:ascii="仿宋" w:eastAsia="仿宋" w:hAnsi="仿宋" w:hint="eastAsia"/>
          <w:color w:val="000000"/>
          <w:spacing w:val="-4"/>
          <w:sz w:val="32"/>
          <w:szCs w:val="32"/>
        </w:rPr>
        <w:t>新路径。</w:t>
      </w:r>
      <w:r w:rsidR="00E664F8">
        <w:rPr>
          <w:rFonts w:ascii="仿宋" w:eastAsia="仿宋" w:hAnsi="仿宋" w:hint="eastAsia"/>
          <w:color w:val="000000"/>
          <w:spacing w:val="-4"/>
          <w:sz w:val="32"/>
          <w:szCs w:val="32"/>
        </w:rPr>
        <w:t>市中院持续升级</w:t>
      </w:r>
      <w:r w:rsidR="00873F01">
        <w:rPr>
          <w:rFonts w:ascii="仿宋" w:eastAsia="仿宋" w:hAnsi="仿宋" w:hint="eastAsia"/>
          <w:color w:val="000000"/>
          <w:spacing w:val="-4"/>
          <w:sz w:val="32"/>
          <w:szCs w:val="32"/>
        </w:rPr>
        <w:t>完善</w:t>
      </w:r>
      <w:r w:rsidR="00E664F8">
        <w:rPr>
          <w:rFonts w:ascii="仿宋" w:eastAsia="仿宋" w:hAnsi="仿宋" w:hint="eastAsia"/>
          <w:color w:val="000000"/>
          <w:spacing w:val="-4"/>
          <w:sz w:val="32"/>
          <w:szCs w:val="32"/>
        </w:rPr>
        <w:t>“融畅”破产案件管理系统，协调市大数据局</w:t>
      </w:r>
      <w:r w:rsidR="00093DE6" w:rsidRPr="00093DE6">
        <w:rPr>
          <w:rFonts w:ascii="仿宋" w:eastAsia="仿宋" w:hAnsi="仿宋" w:hint="eastAsia"/>
          <w:color w:val="000000"/>
          <w:spacing w:val="-4"/>
          <w:sz w:val="32"/>
          <w:szCs w:val="32"/>
        </w:rPr>
        <w:t>推进府院联动事项线上办理，促进</w:t>
      </w:r>
      <w:r w:rsidR="00DC4B1A">
        <w:rPr>
          <w:rFonts w:ascii="仿宋" w:eastAsia="仿宋" w:hAnsi="仿宋" w:hint="eastAsia"/>
          <w:color w:val="000000"/>
          <w:spacing w:val="-4"/>
          <w:sz w:val="32"/>
          <w:szCs w:val="32"/>
        </w:rPr>
        <w:t>提升破产案件办理效率</w:t>
      </w:r>
      <w:r w:rsidR="00093DE6" w:rsidRPr="00093DE6">
        <w:rPr>
          <w:rFonts w:ascii="仿宋" w:eastAsia="仿宋" w:hAnsi="仿宋" w:hint="eastAsia"/>
          <w:color w:val="000000"/>
          <w:spacing w:val="-4"/>
          <w:sz w:val="32"/>
          <w:szCs w:val="32"/>
        </w:rPr>
        <w:t>。2022年，全市法院</w:t>
      </w:r>
      <w:r w:rsidR="00873F01">
        <w:rPr>
          <w:rFonts w:ascii="仿宋" w:eastAsia="仿宋" w:hAnsi="仿宋" w:hint="eastAsia"/>
          <w:color w:val="000000"/>
          <w:spacing w:val="-4"/>
          <w:sz w:val="32"/>
          <w:szCs w:val="32"/>
        </w:rPr>
        <w:t>利用</w:t>
      </w:r>
      <w:r w:rsidR="00093DE6" w:rsidRPr="00093DE6">
        <w:rPr>
          <w:rFonts w:ascii="仿宋" w:eastAsia="仿宋" w:hAnsi="仿宋" w:hint="eastAsia"/>
          <w:color w:val="000000"/>
          <w:spacing w:val="-4"/>
          <w:sz w:val="32"/>
          <w:szCs w:val="32"/>
        </w:rPr>
        <w:t>融畅系统立案806件，审结466件，召开网络债权人会议313次</w:t>
      </w:r>
      <w:r w:rsidR="00873F01">
        <w:rPr>
          <w:rFonts w:ascii="仿宋" w:eastAsia="仿宋" w:hAnsi="仿宋" w:hint="eastAsia"/>
          <w:color w:val="000000"/>
          <w:spacing w:val="-4"/>
          <w:sz w:val="32"/>
          <w:szCs w:val="32"/>
        </w:rPr>
        <w:t>、</w:t>
      </w:r>
      <w:r w:rsidR="00093DE6" w:rsidRPr="00093DE6">
        <w:rPr>
          <w:rFonts w:ascii="仿宋" w:eastAsia="仿宋" w:hAnsi="仿宋" w:hint="eastAsia"/>
          <w:color w:val="000000"/>
          <w:spacing w:val="-4"/>
          <w:sz w:val="32"/>
          <w:szCs w:val="32"/>
        </w:rPr>
        <w:t>涉及债权人7396人次，审批资金258</w:t>
      </w:r>
      <w:r w:rsidR="00627A42">
        <w:rPr>
          <w:rFonts w:ascii="仿宋" w:eastAsia="仿宋" w:hAnsi="仿宋" w:hint="eastAsia"/>
          <w:color w:val="000000"/>
          <w:spacing w:val="-4"/>
          <w:sz w:val="32"/>
          <w:szCs w:val="32"/>
        </w:rPr>
        <w:t>笔、</w:t>
      </w:r>
      <w:r w:rsidR="00093DE6" w:rsidRPr="00093DE6">
        <w:rPr>
          <w:rFonts w:ascii="仿宋" w:eastAsia="仿宋" w:hAnsi="仿宋" w:hint="eastAsia"/>
          <w:color w:val="000000"/>
          <w:spacing w:val="-4"/>
          <w:sz w:val="32"/>
          <w:szCs w:val="32"/>
        </w:rPr>
        <w:t>涉及金额2.24亿元。</w:t>
      </w:r>
      <w:r w:rsidR="00E664F8">
        <w:rPr>
          <w:rFonts w:ascii="仿宋" w:eastAsia="仿宋" w:hAnsi="仿宋" w:hint="eastAsia"/>
          <w:color w:val="000000"/>
          <w:spacing w:val="-4"/>
          <w:sz w:val="32"/>
          <w:szCs w:val="32"/>
        </w:rPr>
        <w:t>通过“融畅”系统动态资源库向</w:t>
      </w:r>
      <w:r w:rsidR="00093DE6" w:rsidRPr="00093DE6">
        <w:rPr>
          <w:rFonts w:ascii="仿宋" w:eastAsia="仿宋" w:hAnsi="仿宋" w:hint="eastAsia"/>
          <w:color w:val="000000"/>
          <w:spacing w:val="-4"/>
          <w:sz w:val="32"/>
          <w:szCs w:val="32"/>
        </w:rPr>
        <w:t>苏州企业重组投资人库</w:t>
      </w:r>
      <w:r w:rsidR="00E664F8">
        <w:rPr>
          <w:rFonts w:ascii="仿宋" w:eastAsia="仿宋" w:hAnsi="仿宋" w:hint="eastAsia"/>
          <w:color w:val="000000"/>
          <w:spacing w:val="-4"/>
          <w:sz w:val="32"/>
          <w:szCs w:val="32"/>
        </w:rPr>
        <w:t>入库企业</w:t>
      </w:r>
      <w:r w:rsidR="00093DE6" w:rsidRPr="00093DE6">
        <w:rPr>
          <w:rFonts w:ascii="仿宋" w:eastAsia="仿宋" w:hAnsi="仿宋" w:hint="eastAsia"/>
          <w:color w:val="000000"/>
          <w:spacing w:val="-4"/>
          <w:sz w:val="32"/>
          <w:szCs w:val="32"/>
        </w:rPr>
        <w:t>推送</w:t>
      </w:r>
      <w:r w:rsidR="00E664F8">
        <w:rPr>
          <w:rFonts w:ascii="仿宋" w:eastAsia="仿宋" w:hAnsi="仿宋" w:hint="eastAsia"/>
          <w:color w:val="000000"/>
          <w:spacing w:val="-4"/>
          <w:sz w:val="32"/>
          <w:szCs w:val="32"/>
        </w:rPr>
        <w:t>资产信息</w:t>
      </w:r>
      <w:r w:rsidR="00093DE6" w:rsidRPr="00093DE6">
        <w:rPr>
          <w:rFonts w:ascii="仿宋" w:eastAsia="仿宋" w:hAnsi="仿宋" w:hint="eastAsia"/>
          <w:color w:val="000000"/>
          <w:spacing w:val="-4"/>
          <w:sz w:val="32"/>
          <w:szCs w:val="32"/>
        </w:rPr>
        <w:t>，实现</w:t>
      </w:r>
      <w:r w:rsidR="00582905">
        <w:rPr>
          <w:rFonts w:ascii="仿宋" w:eastAsia="仿宋" w:hAnsi="仿宋" w:hint="eastAsia"/>
          <w:color w:val="000000"/>
          <w:spacing w:val="-4"/>
          <w:sz w:val="32"/>
          <w:szCs w:val="32"/>
        </w:rPr>
        <w:t>破产</w:t>
      </w:r>
      <w:r w:rsidR="00627A42">
        <w:rPr>
          <w:rFonts w:ascii="仿宋" w:eastAsia="仿宋" w:hAnsi="仿宋" w:hint="eastAsia"/>
          <w:color w:val="000000"/>
          <w:spacing w:val="-4"/>
          <w:sz w:val="32"/>
          <w:szCs w:val="32"/>
        </w:rPr>
        <w:t>资产信息共享的可视化、同步化、高效化，推动</w:t>
      </w:r>
      <w:r w:rsidR="00093DE6" w:rsidRPr="00093DE6">
        <w:rPr>
          <w:rFonts w:ascii="仿宋" w:eastAsia="仿宋" w:hAnsi="仿宋" w:hint="eastAsia"/>
          <w:color w:val="000000"/>
          <w:spacing w:val="-4"/>
          <w:sz w:val="32"/>
          <w:szCs w:val="32"/>
        </w:rPr>
        <w:t>破产优质资产与招商引资</w:t>
      </w:r>
      <w:r w:rsidR="00582905">
        <w:rPr>
          <w:rFonts w:ascii="仿宋" w:eastAsia="仿宋" w:hAnsi="仿宋" w:hint="eastAsia"/>
          <w:color w:val="000000"/>
          <w:spacing w:val="-4"/>
          <w:sz w:val="32"/>
          <w:szCs w:val="32"/>
        </w:rPr>
        <w:t>需求</w:t>
      </w:r>
      <w:r w:rsidR="00093DE6" w:rsidRPr="00093DE6">
        <w:rPr>
          <w:rFonts w:ascii="仿宋" w:eastAsia="仿宋" w:hAnsi="仿宋" w:hint="eastAsia"/>
          <w:color w:val="000000"/>
          <w:spacing w:val="-4"/>
          <w:sz w:val="32"/>
          <w:szCs w:val="32"/>
        </w:rPr>
        <w:t>高效衔接。虎丘</w:t>
      </w:r>
      <w:r w:rsidR="00582905">
        <w:rPr>
          <w:rFonts w:ascii="仿宋" w:eastAsia="仿宋" w:hAnsi="仿宋" w:hint="eastAsia"/>
          <w:color w:val="000000"/>
          <w:spacing w:val="-4"/>
          <w:sz w:val="32"/>
          <w:szCs w:val="32"/>
        </w:rPr>
        <w:t>区人民</w:t>
      </w:r>
      <w:r w:rsidR="00093DE6" w:rsidRPr="00093DE6">
        <w:rPr>
          <w:rFonts w:ascii="仿宋" w:eastAsia="仿宋" w:hAnsi="仿宋" w:hint="eastAsia"/>
          <w:color w:val="000000"/>
          <w:spacing w:val="-4"/>
          <w:sz w:val="32"/>
          <w:szCs w:val="32"/>
        </w:rPr>
        <w:t>法院为提升破产案件审理质效，开发“破产流程导航平台”，</w:t>
      </w:r>
      <w:r w:rsidR="00E664F8">
        <w:rPr>
          <w:rFonts w:ascii="仿宋" w:eastAsia="仿宋" w:hAnsi="仿宋" w:hint="eastAsia"/>
          <w:color w:val="000000"/>
          <w:spacing w:val="-4"/>
          <w:sz w:val="32"/>
          <w:szCs w:val="32"/>
        </w:rPr>
        <w:t>实现</w:t>
      </w:r>
      <w:r w:rsidR="00093DE6" w:rsidRPr="00093DE6">
        <w:rPr>
          <w:rFonts w:ascii="仿宋" w:eastAsia="仿宋" w:hAnsi="仿宋" w:hint="eastAsia"/>
          <w:color w:val="000000"/>
          <w:spacing w:val="-4"/>
          <w:sz w:val="32"/>
          <w:szCs w:val="32"/>
        </w:rPr>
        <w:t>从选任破产管理人到终结破</w:t>
      </w:r>
      <w:r w:rsidR="005E7CA8">
        <w:rPr>
          <w:rFonts w:ascii="仿宋" w:eastAsia="仿宋" w:hAnsi="仿宋" w:hint="eastAsia"/>
          <w:color w:val="000000"/>
          <w:spacing w:val="-4"/>
          <w:sz w:val="32"/>
          <w:szCs w:val="32"/>
        </w:rPr>
        <w:t>产程序全业务</w:t>
      </w:r>
      <w:r w:rsidR="00582905">
        <w:rPr>
          <w:rFonts w:ascii="仿宋" w:eastAsia="仿宋" w:hAnsi="仿宋" w:hint="eastAsia"/>
          <w:color w:val="000000"/>
          <w:spacing w:val="-4"/>
          <w:sz w:val="32"/>
          <w:szCs w:val="32"/>
        </w:rPr>
        <w:t>流程</w:t>
      </w:r>
      <w:r w:rsidR="005E7CA8">
        <w:rPr>
          <w:rFonts w:ascii="仿宋" w:eastAsia="仿宋" w:hAnsi="仿宋" w:hint="eastAsia"/>
          <w:color w:val="000000"/>
          <w:spacing w:val="-4"/>
          <w:sz w:val="32"/>
          <w:szCs w:val="32"/>
        </w:rPr>
        <w:t>线上一体化办理，提高</w:t>
      </w:r>
      <w:r w:rsidR="00093DE6" w:rsidRPr="00093DE6">
        <w:rPr>
          <w:rFonts w:ascii="仿宋" w:eastAsia="仿宋" w:hAnsi="仿宋" w:hint="eastAsia"/>
          <w:color w:val="000000"/>
          <w:spacing w:val="-4"/>
          <w:sz w:val="32"/>
          <w:szCs w:val="32"/>
        </w:rPr>
        <w:t>破</w:t>
      </w:r>
      <w:r w:rsidR="00093DE6" w:rsidRPr="00093DE6">
        <w:rPr>
          <w:rFonts w:ascii="仿宋" w:eastAsia="仿宋" w:hAnsi="仿宋" w:hint="eastAsia"/>
          <w:color w:val="000000"/>
          <w:spacing w:val="-4"/>
          <w:sz w:val="32"/>
          <w:szCs w:val="32"/>
        </w:rPr>
        <w:lastRenderedPageBreak/>
        <w:t>产案件审理的智能化水平。</w:t>
      </w:r>
    </w:p>
    <w:p w:rsidR="007536E5" w:rsidRPr="00E31ADA" w:rsidRDefault="00BF6080" w:rsidP="00E31ADA">
      <w:pPr>
        <w:adjustRightInd w:val="0"/>
        <w:snapToGrid w:val="0"/>
        <w:spacing w:line="600" w:lineRule="exact"/>
        <w:ind w:firstLineChars="200" w:firstLine="624"/>
        <w:rPr>
          <w:rFonts w:ascii="楷体" w:eastAsia="楷体" w:hAnsi="楷体"/>
          <w:color w:val="000000"/>
          <w:spacing w:val="-4"/>
          <w:sz w:val="32"/>
          <w:szCs w:val="32"/>
        </w:rPr>
      </w:pPr>
      <w:r w:rsidRPr="00BF6080">
        <w:rPr>
          <w:rFonts w:ascii="楷体" w:eastAsia="楷体" w:hAnsi="楷体" w:hint="eastAsia"/>
          <w:color w:val="000000"/>
          <w:spacing w:val="-4"/>
          <w:sz w:val="32"/>
          <w:szCs w:val="32"/>
        </w:rPr>
        <w:t>4.</w:t>
      </w:r>
      <w:r w:rsidR="00B0046F">
        <w:rPr>
          <w:rFonts w:ascii="楷体" w:eastAsia="楷体" w:hAnsi="楷体" w:hint="eastAsia"/>
          <w:color w:val="000000"/>
          <w:spacing w:val="-4"/>
          <w:sz w:val="32"/>
          <w:szCs w:val="32"/>
        </w:rPr>
        <w:t>推动</w:t>
      </w:r>
      <w:r w:rsidR="00556A75" w:rsidRPr="00556A75">
        <w:rPr>
          <w:rFonts w:ascii="楷体" w:eastAsia="楷体" w:hAnsi="楷体" w:hint="eastAsia"/>
          <w:color w:val="000000"/>
          <w:spacing w:val="-4"/>
          <w:sz w:val="32"/>
          <w:szCs w:val="32"/>
        </w:rPr>
        <w:t>管理人</w:t>
      </w:r>
      <w:r w:rsidR="00B0046F">
        <w:rPr>
          <w:rFonts w:ascii="楷体" w:eastAsia="楷体" w:hAnsi="楷体" w:hint="eastAsia"/>
          <w:color w:val="000000"/>
          <w:spacing w:val="-4"/>
          <w:sz w:val="32"/>
          <w:szCs w:val="32"/>
        </w:rPr>
        <w:t>规范高效</w:t>
      </w:r>
      <w:r w:rsidR="00556A75" w:rsidRPr="00556A75">
        <w:rPr>
          <w:rFonts w:ascii="楷体" w:eastAsia="楷体" w:hAnsi="楷体" w:hint="eastAsia"/>
          <w:color w:val="000000"/>
          <w:spacing w:val="-4"/>
          <w:sz w:val="32"/>
          <w:szCs w:val="32"/>
        </w:rPr>
        <w:t>履职</w:t>
      </w:r>
      <w:r w:rsidR="00E31ADA">
        <w:rPr>
          <w:rFonts w:ascii="楷体" w:eastAsia="楷体" w:hAnsi="楷体" w:hint="eastAsia"/>
          <w:color w:val="000000"/>
          <w:spacing w:val="-4"/>
          <w:sz w:val="32"/>
          <w:szCs w:val="32"/>
        </w:rPr>
        <w:t>。</w:t>
      </w:r>
      <w:r w:rsidR="000308D8">
        <w:rPr>
          <w:rFonts w:ascii="仿宋" w:eastAsia="仿宋" w:hAnsi="仿宋" w:hint="eastAsia"/>
          <w:spacing w:val="-4"/>
          <w:sz w:val="32"/>
          <w:szCs w:val="32"/>
        </w:rPr>
        <w:t>不断健全完善破产</w:t>
      </w:r>
      <w:r w:rsidRPr="00093DE6">
        <w:rPr>
          <w:rFonts w:ascii="仿宋" w:eastAsia="仿宋" w:hAnsi="仿宋" w:hint="eastAsia"/>
          <w:spacing w:val="-4"/>
          <w:sz w:val="32"/>
          <w:szCs w:val="32"/>
        </w:rPr>
        <w:t>管理人工作制度，在管理人选任、监督、指导、评价等方面出台新规</w:t>
      </w:r>
      <w:r w:rsidR="005E7CA8">
        <w:rPr>
          <w:rFonts w:ascii="仿宋" w:eastAsia="仿宋" w:hAnsi="仿宋" w:hint="eastAsia"/>
          <w:spacing w:val="-4"/>
          <w:sz w:val="32"/>
          <w:szCs w:val="32"/>
        </w:rPr>
        <w:t>，</w:t>
      </w:r>
      <w:r w:rsidR="006F7D6B" w:rsidRPr="006F7D6B">
        <w:rPr>
          <w:rFonts w:ascii="仿宋" w:eastAsia="仿宋" w:hAnsi="仿宋" w:hint="eastAsia"/>
          <w:spacing w:val="-4"/>
          <w:sz w:val="32"/>
          <w:szCs w:val="32"/>
        </w:rPr>
        <w:t>促进管理人规范高效履职</w:t>
      </w:r>
      <w:r w:rsidRPr="00093DE6">
        <w:rPr>
          <w:rFonts w:ascii="仿宋" w:eastAsia="仿宋" w:hAnsi="仿宋" w:hint="eastAsia"/>
          <w:spacing w:val="-4"/>
          <w:sz w:val="32"/>
          <w:szCs w:val="32"/>
        </w:rPr>
        <w:t>。市中院开展一级破产管理人遴选，十家中介机构入选一级破产管理人名册，助推打造高素质管理人队伍。</w:t>
      </w:r>
      <w:r w:rsidR="00265CE7">
        <w:rPr>
          <w:rFonts w:ascii="仿宋" w:eastAsia="仿宋" w:hAnsi="仿宋" w:hint="eastAsia"/>
          <w:spacing w:val="-4"/>
          <w:sz w:val="32"/>
          <w:szCs w:val="32"/>
        </w:rPr>
        <w:t>常熟</w:t>
      </w:r>
      <w:r w:rsidR="00191F2A">
        <w:rPr>
          <w:rFonts w:ascii="仿宋" w:eastAsia="仿宋" w:hAnsi="仿宋" w:hint="eastAsia"/>
          <w:spacing w:val="-4"/>
          <w:sz w:val="32"/>
          <w:szCs w:val="32"/>
        </w:rPr>
        <w:t>市人民</w:t>
      </w:r>
      <w:r w:rsidR="00265CE7">
        <w:rPr>
          <w:rFonts w:ascii="仿宋" w:eastAsia="仿宋" w:hAnsi="仿宋" w:hint="eastAsia"/>
          <w:spacing w:val="-4"/>
          <w:sz w:val="32"/>
          <w:szCs w:val="32"/>
        </w:rPr>
        <w:t>法院</w:t>
      </w:r>
      <w:r w:rsidR="00265CE7" w:rsidRPr="00265CE7">
        <w:rPr>
          <w:rFonts w:ascii="仿宋" w:eastAsia="仿宋" w:hAnsi="仿宋" w:hint="eastAsia"/>
          <w:spacing w:val="-4"/>
          <w:sz w:val="32"/>
          <w:szCs w:val="32"/>
        </w:rPr>
        <w:t>出台《破产管理人选任规范（修订）》《关于报送遴选破产管理人</w:t>
      </w:r>
      <w:r w:rsidR="00191F2A">
        <w:rPr>
          <w:rFonts w:ascii="仿宋" w:eastAsia="仿宋" w:hAnsi="仿宋" w:hint="eastAsia"/>
          <w:spacing w:val="-4"/>
          <w:sz w:val="32"/>
          <w:szCs w:val="32"/>
        </w:rPr>
        <w:t>&lt;</w:t>
      </w:r>
      <w:r w:rsidR="00191F2A" w:rsidRPr="00265CE7">
        <w:rPr>
          <w:rFonts w:ascii="仿宋" w:eastAsia="仿宋" w:hAnsi="仿宋" w:hint="eastAsia"/>
          <w:spacing w:val="-4"/>
          <w:sz w:val="32"/>
          <w:szCs w:val="32"/>
        </w:rPr>
        <w:t>工作方案</w:t>
      </w:r>
      <w:r w:rsidR="00191F2A">
        <w:rPr>
          <w:rFonts w:ascii="仿宋" w:eastAsia="仿宋" w:hAnsi="仿宋" w:hint="eastAsia"/>
          <w:spacing w:val="-4"/>
          <w:sz w:val="32"/>
          <w:szCs w:val="32"/>
        </w:rPr>
        <w:t>&gt;</w:t>
      </w:r>
      <w:r w:rsidR="00265CE7" w:rsidRPr="00265CE7">
        <w:rPr>
          <w:rFonts w:ascii="仿宋" w:eastAsia="仿宋" w:hAnsi="仿宋" w:hint="eastAsia"/>
          <w:spacing w:val="-4"/>
          <w:sz w:val="32"/>
          <w:szCs w:val="32"/>
        </w:rPr>
        <w:t>》的规范要求（修订）》等7个规范性文件，进一步规范管理人选任工作，切实提升管理人选任的透明度和公信力</w:t>
      </w:r>
      <w:r w:rsidR="00265CE7">
        <w:rPr>
          <w:rFonts w:ascii="仿宋" w:eastAsia="仿宋" w:hAnsi="仿宋" w:hint="eastAsia"/>
          <w:spacing w:val="-4"/>
          <w:sz w:val="32"/>
          <w:szCs w:val="32"/>
        </w:rPr>
        <w:t>。</w:t>
      </w:r>
      <w:r w:rsidRPr="00093DE6">
        <w:rPr>
          <w:rFonts w:ascii="仿宋" w:eastAsia="仿宋" w:hAnsi="仿宋" w:hint="eastAsia"/>
          <w:spacing w:val="-4"/>
          <w:sz w:val="32"/>
          <w:szCs w:val="32"/>
        </w:rPr>
        <w:t>张家港</w:t>
      </w:r>
      <w:r w:rsidR="00191F2A">
        <w:rPr>
          <w:rFonts w:ascii="仿宋" w:eastAsia="仿宋" w:hAnsi="仿宋" w:hint="eastAsia"/>
          <w:spacing w:val="-4"/>
          <w:sz w:val="32"/>
          <w:szCs w:val="32"/>
        </w:rPr>
        <w:t>市人民</w:t>
      </w:r>
      <w:r w:rsidRPr="00093DE6">
        <w:rPr>
          <w:rFonts w:ascii="仿宋" w:eastAsia="仿宋" w:hAnsi="仿宋" w:hint="eastAsia"/>
          <w:spacing w:val="-4"/>
          <w:sz w:val="32"/>
          <w:szCs w:val="32"/>
        </w:rPr>
        <w:t>法院出台</w:t>
      </w:r>
      <w:r w:rsidR="00265CE7">
        <w:rPr>
          <w:rFonts w:ascii="仿宋" w:eastAsia="仿宋" w:hAnsi="仿宋" w:hint="eastAsia"/>
          <w:spacing w:val="-4"/>
          <w:sz w:val="32"/>
          <w:szCs w:val="32"/>
        </w:rPr>
        <w:t>文件</w:t>
      </w:r>
      <w:r w:rsidR="00692B86">
        <w:rPr>
          <w:rFonts w:ascii="仿宋" w:eastAsia="仿宋" w:hAnsi="仿宋" w:hint="eastAsia"/>
          <w:spacing w:val="-4"/>
          <w:sz w:val="32"/>
          <w:szCs w:val="32"/>
        </w:rPr>
        <w:t>统一</w:t>
      </w:r>
      <w:r w:rsidR="00265CE7">
        <w:rPr>
          <w:rFonts w:ascii="仿宋" w:eastAsia="仿宋" w:hAnsi="仿宋" w:hint="eastAsia"/>
          <w:spacing w:val="-4"/>
          <w:sz w:val="32"/>
          <w:szCs w:val="32"/>
        </w:rPr>
        <w:t>管理人</w:t>
      </w:r>
      <w:r w:rsidR="00692B86">
        <w:rPr>
          <w:rFonts w:ascii="仿宋" w:eastAsia="仿宋" w:hAnsi="仿宋" w:hint="eastAsia"/>
          <w:spacing w:val="-4"/>
          <w:sz w:val="32"/>
          <w:szCs w:val="32"/>
        </w:rPr>
        <w:t>收取</w:t>
      </w:r>
      <w:r w:rsidR="00265CE7" w:rsidRPr="003D349A">
        <w:rPr>
          <w:rFonts w:ascii="仿宋" w:eastAsia="仿宋" w:hAnsi="仿宋" w:hint="eastAsia"/>
          <w:spacing w:val="-4"/>
          <w:sz w:val="32"/>
          <w:szCs w:val="32"/>
        </w:rPr>
        <w:t>补充申报债权</w:t>
      </w:r>
      <w:r w:rsidR="004248BC" w:rsidRPr="00157509">
        <w:rPr>
          <w:rFonts w:ascii="仿宋" w:eastAsia="仿宋" w:hAnsi="仿宋" w:hint="eastAsia"/>
          <w:spacing w:val="-4"/>
          <w:sz w:val="32"/>
          <w:szCs w:val="32"/>
        </w:rPr>
        <w:t>的</w:t>
      </w:r>
      <w:r w:rsidR="00692B86" w:rsidRPr="00157509">
        <w:rPr>
          <w:rFonts w:ascii="仿宋" w:eastAsia="仿宋" w:hAnsi="仿宋" w:hint="eastAsia"/>
          <w:spacing w:val="-4"/>
          <w:sz w:val="32"/>
          <w:szCs w:val="32"/>
        </w:rPr>
        <w:t>审查</w:t>
      </w:r>
      <w:r w:rsidR="00265CE7" w:rsidRPr="003D349A">
        <w:rPr>
          <w:rFonts w:ascii="仿宋" w:eastAsia="仿宋" w:hAnsi="仿宋" w:hint="eastAsia"/>
          <w:spacing w:val="-4"/>
          <w:sz w:val="32"/>
          <w:szCs w:val="32"/>
        </w:rPr>
        <w:t>费用</w:t>
      </w:r>
      <w:r w:rsidR="00692B86" w:rsidRPr="00157509">
        <w:rPr>
          <w:rFonts w:ascii="仿宋" w:eastAsia="仿宋" w:hAnsi="仿宋" w:hint="eastAsia"/>
          <w:spacing w:val="-4"/>
          <w:sz w:val="32"/>
          <w:szCs w:val="32"/>
        </w:rPr>
        <w:t>标准</w:t>
      </w:r>
      <w:r w:rsidR="00265CE7" w:rsidRPr="003D349A">
        <w:rPr>
          <w:rFonts w:ascii="仿宋" w:eastAsia="仿宋" w:hAnsi="仿宋" w:hint="eastAsia"/>
          <w:spacing w:val="-4"/>
          <w:sz w:val="32"/>
          <w:szCs w:val="32"/>
        </w:rPr>
        <w:t>，</w:t>
      </w:r>
      <w:r w:rsidR="00265CE7">
        <w:rPr>
          <w:rFonts w:ascii="仿宋" w:eastAsia="仿宋" w:hAnsi="仿宋" w:hint="eastAsia"/>
          <w:spacing w:val="-4"/>
          <w:sz w:val="32"/>
          <w:szCs w:val="32"/>
        </w:rPr>
        <w:t>提高破产债权申报和破产程序推进</w:t>
      </w:r>
      <w:r w:rsidR="00265CE7" w:rsidRPr="00265CE7">
        <w:rPr>
          <w:rFonts w:ascii="仿宋" w:eastAsia="仿宋" w:hAnsi="仿宋" w:hint="eastAsia"/>
          <w:spacing w:val="-4"/>
          <w:sz w:val="32"/>
          <w:szCs w:val="32"/>
        </w:rPr>
        <w:t>效率</w:t>
      </w:r>
      <w:r w:rsidR="00AF3B1A">
        <w:rPr>
          <w:rFonts w:ascii="仿宋" w:eastAsia="仿宋" w:hAnsi="仿宋" w:hint="eastAsia"/>
          <w:spacing w:val="-4"/>
          <w:sz w:val="32"/>
          <w:szCs w:val="32"/>
        </w:rPr>
        <w:t>。</w:t>
      </w:r>
      <w:r w:rsidRPr="00093DE6">
        <w:rPr>
          <w:rFonts w:ascii="仿宋" w:eastAsia="仿宋" w:hAnsi="仿宋" w:hint="eastAsia"/>
          <w:spacing w:val="-4"/>
          <w:sz w:val="32"/>
          <w:szCs w:val="32"/>
        </w:rPr>
        <w:t>吴江</w:t>
      </w:r>
      <w:r w:rsidR="008F2DC7">
        <w:rPr>
          <w:rFonts w:ascii="仿宋" w:eastAsia="仿宋" w:hAnsi="仿宋" w:hint="eastAsia"/>
          <w:spacing w:val="-4"/>
          <w:sz w:val="32"/>
          <w:szCs w:val="32"/>
        </w:rPr>
        <w:t>区人民法院</w:t>
      </w:r>
      <w:r w:rsidR="00AF3B1A">
        <w:rPr>
          <w:rFonts w:ascii="仿宋" w:eastAsia="仿宋" w:hAnsi="仿宋" w:hint="eastAsia"/>
          <w:spacing w:val="-4"/>
          <w:sz w:val="32"/>
          <w:szCs w:val="32"/>
        </w:rPr>
        <w:t>、常熟</w:t>
      </w:r>
      <w:r w:rsidR="008F2DC7">
        <w:rPr>
          <w:rFonts w:ascii="仿宋" w:eastAsia="仿宋" w:hAnsi="仿宋" w:hint="eastAsia"/>
          <w:spacing w:val="-4"/>
          <w:sz w:val="32"/>
          <w:szCs w:val="32"/>
        </w:rPr>
        <w:t>市人民</w:t>
      </w:r>
      <w:r w:rsidR="00AF3B1A">
        <w:rPr>
          <w:rFonts w:ascii="仿宋" w:eastAsia="仿宋" w:hAnsi="仿宋" w:hint="eastAsia"/>
          <w:spacing w:val="-4"/>
          <w:sz w:val="32"/>
          <w:szCs w:val="32"/>
        </w:rPr>
        <w:t>法院</w:t>
      </w:r>
      <w:r w:rsidRPr="00093DE6">
        <w:rPr>
          <w:rFonts w:ascii="仿宋" w:eastAsia="仿宋" w:hAnsi="仿宋" w:hint="eastAsia"/>
          <w:spacing w:val="-4"/>
          <w:sz w:val="32"/>
          <w:szCs w:val="32"/>
        </w:rPr>
        <w:t>出台</w:t>
      </w:r>
      <w:r w:rsidR="00AF3B1A">
        <w:rPr>
          <w:rFonts w:ascii="仿宋" w:eastAsia="仿宋" w:hAnsi="仿宋" w:hint="eastAsia"/>
          <w:spacing w:val="-4"/>
          <w:sz w:val="32"/>
          <w:szCs w:val="32"/>
        </w:rPr>
        <w:t>破产管理人账户资金监管</w:t>
      </w:r>
      <w:r w:rsidR="001B799B">
        <w:rPr>
          <w:rFonts w:ascii="仿宋" w:eastAsia="仿宋" w:hAnsi="仿宋" w:hint="eastAsia"/>
          <w:spacing w:val="-4"/>
          <w:sz w:val="32"/>
          <w:szCs w:val="32"/>
        </w:rPr>
        <w:t>规范性</w:t>
      </w:r>
      <w:r w:rsidR="00D25D45">
        <w:rPr>
          <w:rFonts w:ascii="仿宋" w:eastAsia="仿宋" w:hAnsi="仿宋" w:hint="eastAsia"/>
          <w:spacing w:val="-4"/>
          <w:sz w:val="32"/>
          <w:szCs w:val="32"/>
        </w:rPr>
        <w:t>文件，加强管理人账户开立、使用等环节监管工作，</w:t>
      </w:r>
      <w:r w:rsidR="00D25D45" w:rsidRPr="00D25D45">
        <w:rPr>
          <w:rFonts w:ascii="仿宋" w:eastAsia="仿宋" w:hAnsi="仿宋" w:hint="eastAsia"/>
          <w:spacing w:val="-4"/>
          <w:sz w:val="32"/>
          <w:szCs w:val="32"/>
        </w:rPr>
        <w:t>保障破产资金安全，维护债权人和债务人等主体合法权益</w:t>
      </w:r>
      <w:r w:rsidR="00D25D45">
        <w:rPr>
          <w:rFonts w:ascii="仿宋" w:eastAsia="仿宋" w:hAnsi="仿宋" w:hint="eastAsia"/>
          <w:spacing w:val="-4"/>
          <w:sz w:val="32"/>
          <w:szCs w:val="32"/>
        </w:rPr>
        <w:t>。</w:t>
      </w:r>
      <w:r w:rsidR="001B799B">
        <w:rPr>
          <w:rFonts w:ascii="仿宋" w:eastAsia="仿宋" w:hAnsi="仿宋" w:hint="eastAsia"/>
          <w:spacing w:val="-4"/>
          <w:sz w:val="32"/>
          <w:szCs w:val="32"/>
        </w:rPr>
        <w:t>苏州</w:t>
      </w:r>
      <w:r w:rsidR="00773DAB">
        <w:rPr>
          <w:rFonts w:ascii="仿宋" w:eastAsia="仿宋" w:hAnsi="仿宋" w:hint="eastAsia"/>
          <w:spacing w:val="-4"/>
          <w:sz w:val="32"/>
          <w:szCs w:val="32"/>
        </w:rPr>
        <w:t>工业</w:t>
      </w:r>
      <w:r w:rsidR="00D25D45">
        <w:rPr>
          <w:rFonts w:ascii="仿宋" w:eastAsia="仿宋" w:hAnsi="仿宋" w:hint="eastAsia"/>
          <w:spacing w:val="-4"/>
          <w:sz w:val="32"/>
          <w:szCs w:val="32"/>
        </w:rPr>
        <w:t>园区</w:t>
      </w:r>
      <w:r w:rsidR="001B799B">
        <w:rPr>
          <w:rFonts w:ascii="仿宋" w:eastAsia="仿宋" w:hAnsi="仿宋" w:hint="eastAsia"/>
          <w:spacing w:val="-4"/>
          <w:sz w:val="32"/>
          <w:szCs w:val="32"/>
        </w:rPr>
        <w:t>人民</w:t>
      </w:r>
      <w:r w:rsidR="00D25D45">
        <w:rPr>
          <w:rFonts w:ascii="仿宋" w:eastAsia="仿宋" w:hAnsi="仿宋" w:hint="eastAsia"/>
          <w:spacing w:val="-4"/>
          <w:sz w:val="32"/>
          <w:szCs w:val="32"/>
        </w:rPr>
        <w:t>法院</w:t>
      </w:r>
      <w:r w:rsidRPr="00093DE6">
        <w:rPr>
          <w:rFonts w:ascii="仿宋" w:eastAsia="仿宋" w:hAnsi="仿宋" w:hint="eastAsia"/>
          <w:spacing w:val="-4"/>
          <w:sz w:val="32"/>
          <w:szCs w:val="32"/>
        </w:rPr>
        <w:t>设立破产管理人实训基地，确定以指定管理人实战培训、派驻专人跟案实练两</w:t>
      </w:r>
      <w:r w:rsidR="001B799B">
        <w:rPr>
          <w:rFonts w:ascii="仿宋" w:eastAsia="仿宋" w:hAnsi="仿宋" w:hint="eastAsia"/>
          <w:spacing w:val="-4"/>
          <w:sz w:val="32"/>
          <w:szCs w:val="32"/>
        </w:rPr>
        <w:t>种</w:t>
      </w:r>
      <w:r w:rsidRPr="00093DE6">
        <w:rPr>
          <w:rFonts w:ascii="仿宋" w:eastAsia="仿宋" w:hAnsi="仿宋" w:hint="eastAsia"/>
          <w:spacing w:val="-4"/>
          <w:sz w:val="32"/>
          <w:szCs w:val="32"/>
        </w:rPr>
        <w:t>方式为主，以法律研究、专题研讨、经验交流为辅的实训方式</w:t>
      </w:r>
      <w:r w:rsidR="00D25D45">
        <w:rPr>
          <w:rFonts w:ascii="仿宋" w:eastAsia="仿宋" w:hAnsi="仿宋" w:hint="eastAsia"/>
          <w:spacing w:val="-4"/>
          <w:sz w:val="32"/>
          <w:szCs w:val="32"/>
        </w:rPr>
        <w:t>，着力培育一支勤勉尽责、业务精专的高素质管理人队伍</w:t>
      </w:r>
      <w:r w:rsidRPr="00093DE6">
        <w:rPr>
          <w:rFonts w:ascii="仿宋" w:eastAsia="仿宋" w:hAnsi="仿宋" w:hint="eastAsia"/>
          <w:spacing w:val="-4"/>
          <w:sz w:val="32"/>
          <w:szCs w:val="32"/>
        </w:rPr>
        <w:t>。</w:t>
      </w:r>
    </w:p>
    <w:p w:rsidR="003B2247" w:rsidRPr="00D75FD0" w:rsidRDefault="0026123D" w:rsidP="00157509">
      <w:pPr>
        <w:adjustRightInd w:val="0"/>
        <w:snapToGrid w:val="0"/>
        <w:spacing w:line="600" w:lineRule="exact"/>
        <w:ind w:firstLineChars="200" w:firstLine="624"/>
        <w:rPr>
          <w:rFonts w:eastAsia="黑体"/>
          <w:color w:val="000000"/>
          <w:spacing w:val="-4"/>
          <w:sz w:val="32"/>
          <w:szCs w:val="32"/>
        </w:rPr>
      </w:pPr>
      <w:r>
        <w:rPr>
          <w:rFonts w:eastAsia="黑体" w:hint="eastAsia"/>
          <w:color w:val="000000"/>
          <w:spacing w:val="-4"/>
          <w:sz w:val="32"/>
          <w:szCs w:val="32"/>
        </w:rPr>
        <w:t>四</w:t>
      </w:r>
      <w:r>
        <w:rPr>
          <w:rFonts w:eastAsia="黑体"/>
          <w:color w:val="000000"/>
          <w:spacing w:val="-4"/>
          <w:sz w:val="32"/>
          <w:szCs w:val="32"/>
        </w:rPr>
        <w:t>、下一步破产审判工作重点</w:t>
      </w:r>
    </w:p>
    <w:p w:rsidR="00494FB2" w:rsidRPr="00E31ADA" w:rsidRDefault="00494FB2" w:rsidP="00E31ADA">
      <w:pPr>
        <w:adjustRightInd w:val="0"/>
        <w:snapToGrid w:val="0"/>
        <w:spacing w:line="600" w:lineRule="exact"/>
        <w:ind w:firstLineChars="200" w:firstLine="624"/>
        <w:rPr>
          <w:rFonts w:ascii="楷体" w:eastAsia="楷体" w:hAnsi="楷体"/>
          <w:spacing w:val="-4"/>
          <w:sz w:val="32"/>
          <w:szCs w:val="32"/>
        </w:rPr>
      </w:pPr>
      <w:r w:rsidRPr="00494FB2">
        <w:rPr>
          <w:rFonts w:ascii="楷体" w:eastAsia="楷体" w:hAnsi="楷体" w:hint="eastAsia"/>
          <w:spacing w:val="-4"/>
          <w:sz w:val="32"/>
          <w:szCs w:val="32"/>
        </w:rPr>
        <w:t>1.进一步提升破产审判质效</w:t>
      </w:r>
      <w:r w:rsidR="00E31ADA">
        <w:rPr>
          <w:rFonts w:ascii="楷体" w:eastAsia="楷体" w:hAnsi="楷体" w:hint="eastAsia"/>
          <w:spacing w:val="-4"/>
          <w:sz w:val="32"/>
          <w:szCs w:val="32"/>
        </w:rPr>
        <w:t>。</w:t>
      </w:r>
      <w:r w:rsidRPr="00494FB2">
        <w:rPr>
          <w:rFonts w:ascii="仿宋" w:eastAsia="仿宋" w:hAnsi="仿宋" w:hint="eastAsia"/>
          <w:spacing w:val="-4"/>
          <w:sz w:val="32"/>
          <w:szCs w:val="32"/>
        </w:rPr>
        <w:t>从降低破产审理天数、降低破产成本、提高债权人回收率等营商环境</w:t>
      </w:r>
      <w:r w:rsidR="00D75FD0">
        <w:rPr>
          <w:rFonts w:ascii="仿宋" w:eastAsia="仿宋" w:hAnsi="仿宋" w:hint="eastAsia"/>
          <w:spacing w:val="-4"/>
          <w:sz w:val="32"/>
          <w:szCs w:val="32"/>
        </w:rPr>
        <w:t>涉及的指标入手，持续提高破产案件办理质效。加强破产程序</w:t>
      </w:r>
      <w:r w:rsidRPr="00494FB2">
        <w:rPr>
          <w:rFonts w:ascii="仿宋" w:eastAsia="仿宋" w:hAnsi="仿宋" w:hint="eastAsia"/>
          <w:spacing w:val="-4"/>
          <w:sz w:val="32"/>
          <w:szCs w:val="32"/>
        </w:rPr>
        <w:t>重要</w:t>
      </w:r>
      <w:r w:rsidR="00D75FD0">
        <w:rPr>
          <w:rFonts w:ascii="仿宋" w:eastAsia="仿宋" w:hAnsi="仿宋" w:hint="eastAsia"/>
          <w:spacing w:val="-4"/>
          <w:sz w:val="32"/>
          <w:szCs w:val="32"/>
        </w:rPr>
        <w:t>流程</w:t>
      </w:r>
      <w:r w:rsidRPr="00494FB2">
        <w:rPr>
          <w:rFonts w:ascii="仿宋" w:eastAsia="仿宋" w:hAnsi="仿宋" w:hint="eastAsia"/>
          <w:spacing w:val="-4"/>
          <w:sz w:val="32"/>
          <w:szCs w:val="32"/>
        </w:rPr>
        <w:t>节点</w:t>
      </w:r>
      <w:r w:rsidR="00D75FD0">
        <w:rPr>
          <w:rFonts w:ascii="仿宋" w:eastAsia="仿宋" w:hAnsi="仿宋" w:hint="eastAsia"/>
          <w:spacing w:val="-4"/>
          <w:sz w:val="32"/>
          <w:szCs w:val="32"/>
        </w:rPr>
        <w:t>管控</w:t>
      </w:r>
      <w:r w:rsidRPr="00494FB2">
        <w:rPr>
          <w:rFonts w:ascii="仿宋" w:eastAsia="仿宋" w:hAnsi="仿宋" w:hint="eastAsia"/>
          <w:spacing w:val="-4"/>
          <w:sz w:val="32"/>
          <w:szCs w:val="32"/>
        </w:rPr>
        <w:t>，</w:t>
      </w:r>
      <w:r w:rsidR="00D75FD0">
        <w:rPr>
          <w:rFonts w:ascii="仿宋" w:eastAsia="仿宋" w:hAnsi="仿宋" w:hint="eastAsia"/>
          <w:spacing w:val="-4"/>
          <w:sz w:val="32"/>
          <w:szCs w:val="32"/>
        </w:rPr>
        <w:t>按照</w:t>
      </w:r>
      <w:r w:rsidRPr="00494FB2">
        <w:rPr>
          <w:rFonts w:ascii="仿宋" w:eastAsia="仿宋" w:hAnsi="仿宋" w:hint="eastAsia"/>
          <w:spacing w:val="-4"/>
          <w:sz w:val="32"/>
          <w:szCs w:val="32"/>
        </w:rPr>
        <w:t>无产可破案件、简单</w:t>
      </w:r>
      <w:r w:rsidR="00D75FD0">
        <w:rPr>
          <w:rFonts w:ascii="仿宋" w:eastAsia="仿宋" w:hAnsi="仿宋" w:hint="eastAsia"/>
          <w:spacing w:val="-4"/>
          <w:sz w:val="32"/>
          <w:szCs w:val="32"/>
        </w:rPr>
        <w:t>破产</w:t>
      </w:r>
      <w:r w:rsidRPr="00494FB2">
        <w:rPr>
          <w:rFonts w:ascii="仿宋" w:eastAsia="仿宋" w:hAnsi="仿宋" w:hint="eastAsia"/>
          <w:spacing w:val="-4"/>
          <w:sz w:val="32"/>
          <w:szCs w:val="32"/>
        </w:rPr>
        <w:t>案件、普通</w:t>
      </w:r>
      <w:r w:rsidR="00D75FD0">
        <w:rPr>
          <w:rFonts w:ascii="仿宋" w:eastAsia="仿宋" w:hAnsi="仿宋" w:hint="eastAsia"/>
          <w:spacing w:val="-4"/>
          <w:sz w:val="32"/>
          <w:szCs w:val="32"/>
        </w:rPr>
        <w:t>破产</w:t>
      </w:r>
      <w:r w:rsidRPr="00494FB2">
        <w:rPr>
          <w:rFonts w:ascii="仿宋" w:eastAsia="仿宋" w:hAnsi="仿宋" w:hint="eastAsia"/>
          <w:spacing w:val="-4"/>
          <w:sz w:val="32"/>
          <w:szCs w:val="32"/>
        </w:rPr>
        <w:t>案件</w:t>
      </w:r>
      <w:r w:rsidR="00544CBF">
        <w:rPr>
          <w:rFonts w:ascii="仿宋" w:eastAsia="仿宋" w:hAnsi="仿宋" w:hint="eastAsia"/>
          <w:spacing w:val="-4"/>
          <w:sz w:val="32"/>
          <w:szCs w:val="32"/>
        </w:rPr>
        <w:t>分类</w:t>
      </w:r>
      <w:r w:rsidR="00AB77B7">
        <w:rPr>
          <w:rFonts w:ascii="仿宋" w:eastAsia="仿宋" w:hAnsi="仿宋" w:hint="eastAsia"/>
          <w:spacing w:val="-4"/>
          <w:sz w:val="32"/>
          <w:szCs w:val="32"/>
        </w:rPr>
        <w:t>，</w:t>
      </w:r>
      <w:r w:rsidR="00544CBF">
        <w:rPr>
          <w:rFonts w:ascii="仿宋" w:eastAsia="仿宋" w:hAnsi="仿宋" w:hint="eastAsia"/>
          <w:spacing w:val="-4"/>
          <w:sz w:val="32"/>
          <w:szCs w:val="32"/>
        </w:rPr>
        <w:t>大力推进</w:t>
      </w:r>
      <w:r w:rsidR="00D75FD0">
        <w:rPr>
          <w:rFonts w:ascii="仿宋" w:eastAsia="仿宋" w:hAnsi="仿宋" w:hint="eastAsia"/>
          <w:spacing w:val="-4"/>
          <w:sz w:val="32"/>
          <w:szCs w:val="32"/>
        </w:rPr>
        <w:t>案件办理繁简分流、快慢分道</w:t>
      </w:r>
      <w:r w:rsidRPr="00494FB2">
        <w:rPr>
          <w:rFonts w:ascii="仿宋" w:eastAsia="仿宋" w:hAnsi="仿宋" w:hint="eastAsia"/>
          <w:spacing w:val="-4"/>
          <w:sz w:val="32"/>
          <w:szCs w:val="32"/>
        </w:rPr>
        <w:t>。完善破产案件简案快审机制，</w:t>
      </w:r>
      <w:r w:rsidR="00903C82">
        <w:rPr>
          <w:rFonts w:ascii="仿宋" w:eastAsia="仿宋" w:hAnsi="仿宋" w:hint="eastAsia"/>
          <w:spacing w:val="-4"/>
          <w:sz w:val="32"/>
          <w:szCs w:val="32"/>
        </w:rPr>
        <w:t>对债权债务关系简</w:t>
      </w:r>
      <w:r w:rsidR="00903C82">
        <w:rPr>
          <w:rFonts w:ascii="仿宋" w:eastAsia="仿宋" w:hAnsi="仿宋" w:hint="eastAsia"/>
          <w:spacing w:val="-4"/>
          <w:sz w:val="32"/>
          <w:szCs w:val="32"/>
        </w:rPr>
        <w:lastRenderedPageBreak/>
        <w:t>单、资产规模小、风险隐患少的破产案件，</w:t>
      </w:r>
      <w:r w:rsidRPr="00494FB2">
        <w:rPr>
          <w:rFonts w:ascii="仿宋" w:eastAsia="仿宋" w:hAnsi="仿宋" w:hint="eastAsia"/>
          <w:spacing w:val="-4"/>
          <w:sz w:val="32"/>
          <w:szCs w:val="32"/>
        </w:rPr>
        <w:t>简化审理程序，进一步压缩办案周期。深入探索预重整、预和解工作机制，提升重整、和解工作效率，促使企业通过重整、和解方式化解债务危机</w:t>
      </w:r>
      <w:r w:rsidR="00753C1B">
        <w:rPr>
          <w:rFonts w:ascii="仿宋" w:eastAsia="仿宋" w:hAnsi="仿宋" w:hint="eastAsia"/>
          <w:spacing w:val="-4"/>
          <w:sz w:val="32"/>
          <w:szCs w:val="32"/>
        </w:rPr>
        <w:t>。</w:t>
      </w:r>
      <w:r w:rsidR="0029099E">
        <w:rPr>
          <w:rFonts w:ascii="仿宋" w:eastAsia="仿宋" w:hAnsi="仿宋" w:hint="eastAsia"/>
          <w:spacing w:val="-4"/>
          <w:sz w:val="32"/>
          <w:szCs w:val="32"/>
        </w:rPr>
        <w:t>对于涉及破产企业股东出资、应收款催收、不动产权属</w:t>
      </w:r>
      <w:r w:rsidRPr="00494FB2">
        <w:rPr>
          <w:rFonts w:ascii="仿宋" w:eastAsia="仿宋" w:hAnsi="仿宋" w:hint="eastAsia"/>
          <w:spacing w:val="-4"/>
          <w:sz w:val="32"/>
          <w:szCs w:val="32"/>
        </w:rPr>
        <w:t>等</w:t>
      </w:r>
      <w:r w:rsidR="0029099E">
        <w:rPr>
          <w:rFonts w:ascii="仿宋" w:eastAsia="仿宋" w:hAnsi="仿宋" w:hint="eastAsia"/>
          <w:spacing w:val="-4"/>
          <w:sz w:val="32"/>
          <w:szCs w:val="32"/>
        </w:rPr>
        <w:t>易发破产衍生诉讼的</w:t>
      </w:r>
      <w:r w:rsidR="00D17802">
        <w:rPr>
          <w:rFonts w:ascii="仿宋" w:eastAsia="仿宋" w:hAnsi="仿宋" w:hint="eastAsia"/>
          <w:spacing w:val="-4"/>
          <w:sz w:val="32"/>
          <w:szCs w:val="32"/>
        </w:rPr>
        <w:t>情形</w:t>
      </w:r>
      <w:r w:rsidR="0029099E">
        <w:rPr>
          <w:rFonts w:ascii="仿宋" w:eastAsia="仿宋" w:hAnsi="仿宋" w:hint="eastAsia"/>
          <w:spacing w:val="-4"/>
          <w:sz w:val="32"/>
          <w:szCs w:val="32"/>
        </w:rPr>
        <w:t>，指导管理人</w:t>
      </w:r>
      <w:r w:rsidR="00D17802">
        <w:rPr>
          <w:rFonts w:ascii="仿宋" w:eastAsia="仿宋" w:hAnsi="仿宋" w:hint="eastAsia"/>
          <w:spacing w:val="-4"/>
          <w:sz w:val="32"/>
          <w:szCs w:val="32"/>
        </w:rPr>
        <w:t>及时</w:t>
      </w:r>
      <w:r w:rsidR="0029099E">
        <w:rPr>
          <w:rFonts w:ascii="仿宋" w:eastAsia="仿宋" w:hAnsi="仿宋" w:hint="eastAsia"/>
          <w:spacing w:val="-4"/>
          <w:sz w:val="32"/>
          <w:szCs w:val="32"/>
        </w:rPr>
        <w:t>制定</w:t>
      </w:r>
      <w:r w:rsidR="009A645E">
        <w:rPr>
          <w:rFonts w:ascii="仿宋" w:eastAsia="仿宋" w:hAnsi="仿宋" w:hint="eastAsia"/>
          <w:spacing w:val="-4"/>
          <w:sz w:val="32"/>
          <w:szCs w:val="32"/>
        </w:rPr>
        <w:t>工作</w:t>
      </w:r>
      <w:r w:rsidR="0029099E">
        <w:rPr>
          <w:rFonts w:ascii="仿宋" w:eastAsia="仿宋" w:hAnsi="仿宋" w:hint="eastAsia"/>
          <w:spacing w:val="-4"/>
          <w:sz w:val="32"/>
          <w:szCs w:val="32"/>
        </w:rPr>
        <w:t>方案</w:t>
      </w:r>
      <w:r w:rsidRPr="00494FB2">
        <w:rPr>
          <w:rFonts w:ascii="仿宋" w:eastAsia="仿宋" w:hAnsi="仿宋" w:hint="eastAsia"/>
          <w:spacing w:val="-4"/>
          <w:sz w:val="32"/>
          <w:szCs w:val="32"/>
        </w:rPr>
        <w:t>，</w:t>
      </w:r>
      <w:r w:rsidR="00D6386B">
        <w:rPr>
          <w:rFonts w:ascii="仿宋" w:eastAsia="仿宋" w:hAnsi="仿宋" w:hint="eastAsia"/>
          <w:spacing w:val="-4"/>
          <w:sz w:val="32"/>
          <w:szCs w:val="32"/>
        </w:rPr>
        <w:t>综合施策加以应对，</w:t>
      </w:r>
      <w:r w:rsidR="00D17802">
        <w:rPr>
          <w:rFonts w:ascii="仿宋" w:eastAsia="仿宋" w:hAnsi="仿宋" w:hint="eastAsia"/>
          <w:spacing w:val="-4"/>
          <w:sz w:val="32"/>
          <w:szCs w:val="32"/>
        </w:rPr>
        <w:t>确保破产程序有序</w:t>
      </w:r>
      <w:r w:rsidRPr="00494FB2">
        <w:rPr>
          <w:rFonts w:ascii="仿宋" w:eastAsia="仿宋" w:hAnsi="仿宋" w:hint="eastAsia"/>
          <w:spacing w:val="-4"/>
          <w:sz w:val="32"/>
          <w:szCs w:val="32"/>
        </w:rPr>
        <w:t>推进。</w:t>
      </w:r>
    </w:p>
    <w:p w:rsidR="00494FB2" w:rsidRPr="00E31ADA" w:rsidRDefault="00494FB2" w:rsidP="00E31ADA">
      <w:pPr>
        <w:adjustRightInd w:val="0"/>
        <w:snapToGrid w:val="0"/>
        <w:spacing w:line="600" w:lineRule="exact"/>
        <w:ind w:firstLineChars="200" w:firstLine="624"/>
        <w:rPr>
          <w:rFonts w:ascii="楷体" w:eastAsia="楷体" w:hAnsi="楷体"/>
          <w:spacing w:val="-4"/>
          <w:sz w:val="32"/>
          <w:szCs w:val="32"/>
        </w:rPr>
      </w:pPr>
      <w:r w:rsidRPr="00494FB2">
        <w:rPr>
          <w:rFonts w:ascii="楷体" w:eastAsia="楷体" w:hAnsi="楷体" w:hint="eastAsia"/>
          <w:spacing w:val="-4"/>
          <w:sz w:val="32"/>
          <w:szCs w:val="32"/>
        </w:rPr>
        <w:t>2.进一步</w:t>
      </w:r>
      <w:r w:rsidR="008551FA">
        <w:rPr>
          <w:rFonts w:ascii="楷体" w:eastAsia="楷体" w:hAnsi="楷体" w:hint="eastAsia"/>
          <w:spacing w:val="-4"/>
          <w:sz w:val="32"/>
          <w:szCs w:val="32"/>
        </w:rPr>
        <w:t>加强</w:t>
      </w:r>
      <w:r w:rsidRPr="00494FB2">
        <w:rPr>
          <w:rFonts w:ascii="楷体" w:eastAsia="楷体" w:hAnsi="楷体" w:hint="eastAsia"/>
          <w:spacing w:val="-4"/>
          <w:sz w:val="32"/>
          <w:szCs w:val="32"/>
        </w:rPr>
        <w:t>破产职业共同体培育</w:t>
      </w:r>
      <w:r w:rsidR="00E31ADA">
        <w:rPr>
          <w:rFonts w:ascii="楷体" w:eastAsia="楷体" w:hAnsi="楷体" w:hint="eastAsia"/>
          <w:spacing w:val="-4"/>
          <w:sz w:val="32"/>
          <w:szCs w:val="32"/>
        </w:rPr>
        <w:t>。</w:t>
      </w:r>
      <w:r w:rsidRPr="00494FB2">
        <w:rPr>
          <w:rFonts w:ascii="仿宋" w:eastAsia="仿宋" w:hAnsi="仿宋" w:hint="eastAsia"/>
          <w:spacing w:val="-4"/>
          <w:sz w:val="32"/>
          <w:szCs w:val="32"/>
        </w:rPr>
        <w:t>加强破产审判人才培养和梯队建设，</w:t>
      </w:r>
      <w:r w:rsidR="00544CBF">
        <w:rPr>
          <w:rFonts w:ascii="仿宋" w:eastAsia="仿宋" w:hAnsi="仿宋" w:hint="eastAsia"/>
          <w:spacing w:val="-4"/>
          <w:sz w:val="32"/>
          <w:szCs w:val="32"/>
        </w:rPr>
        <w:t>坚持抓好“理论与实践”两驾马车，鼓励、引导</w:t>
      </w:r>
      <w:r w:rsidR="00410B91">
        <w:rPr>
          <w:rFonts w:ascii="仿宋" w:eastAsia="仿宋" w:hAnsi="仿宋" w:hint="eastAsia"/>
          <w:spacing w:val="-4"/>
          <w:sz w:val="32"/>
          <w:szCs w:val="32"/>
        </w:rPr>
        <w:t>审判人员</w:t>
      </w:r>
      <w:r w:rsidR="00D17802">
        <w:rPr>
          <w:rFonts w:ascii="仿宋" w:eastAsia="仿宋" w:hAnsi="仿宋" w:hint="eastAsia"/>
          <w:spacing w:val="-4"/>
          <w:sz w:val="32"/>
          <w:szCs w:val="32"/>
        </w:rPr>
        <w:t>主动全面学习破产审判</w:t>
      </w:r>
      <w:r w:rsidR="00067655">
        <w:rPr>
          <w:rFonts w:ascii="仿宋" w:eastAsia="仿宋" w:hAnsi="仿宋" w:hint="eastAsia"/>
          <w:spacing w:val="-4"/>
          <w:sz w:val="32"/>
          <w:szCs w:val="32"/>
        </w:rPr>
        <w:t>实务知识</w:t>
      </w:r>
      <w:r w:rsidR="00410B91">
        <w:rPr>
          <w:rFonts w:ascii="仿宋" w:eastAsia="仿宋" w:hAnsi="仿宋" w:hint="eastAsia"/>
          <w:spacing w:val="-4"/>
          <w:sz w:val="32"/>
          <w:szCs w:val="32"/>
        </w:rPr>
        <w:t>。对</w:t>
      </w:r>
      <w:r w:rsidR="00544CBF">
        <w:rPr>
          <w:rFonts w:ascii="仿宋" w:eastAsia="仿宋" w:hAnsi="仿宋" w:hint="eastAsia"/>
          <w:spacing w:val="-4"/>
          <w:sz w:val="32"/>
          <w:szCs w:val="32"/>
        </w:rPr>
        <w:t>企业破产法修订内容</w:t>
      </w:r>
      <w:r w:rsidR="00410B91">
        <w:rPr>
          <w:rFonts w:ascii="仿宋" w:eastAsia="仿宋" w:hAnsi="仿宋" w:hint="eastAsia"/>
          <w:spacing w:val="-4"/>
          <w:sz w:val="32"/>
          <w:szCs w:val="32"/>
        </w:rPr>
        <w:t>开展重点学习</w:t>
      </w:r>
      <w:r w:rsidR="00544CBF">
        <w:rPr>
          <w:rFonts w:ascii="仿宋" w:eastAsia="仿宋" w:hAnsi="仿宋" w:hint="eastAsia"/>
          <w:spacing w:val="-4"/>
          <w:sz w:val="32"/>
          <w:szCs w:val="32"/>
        </w:rPr>
        <w:t>，加深对破产法</w:t>
      </w:r>
      <w:r w:rsidRPr="00494FB2">
        <w:rPr>
          <w:rFonts w:ascii="仿宋" w:eastAsia="仿宋" w:hAnsi="仿宋" w:hint="eastAsia"/>
          <w:spacing w:val="-4"/>
          <w:sz w:val="32"/>
          <w:szCs w:val="32"/>
        </w:rPr>
        <w:t>前沿问题的认识和研究。定期召开破产案件审判工作会议，</w:t>
      </w:r>
      <w:r w:rsidR="006E0AB6">
        <w:rPr>
          <w:rFonts w:ascii="仿宋" w:eastAsia="仿宋" w:hAnsi="仿宋" w:hint="eastAsia"/>
          <w:spacing w:val="-4"/>
          <w:sz w:val="32"/>
          <w:szCs w:val="32"/>
        </w:rPr>
        <w:t>针对</w:t>
      </w:r>
      <w:r w:rsidR="00544CBF">
        <w:rPr>
          <w:rFonts w:ascii="仿宋" w:eastAsia="仿宋" w:hAnsi="仿宋" w:hint="eastAsia"/>
          <w:spacing w:val="-4"/>
          <w:sz w:val="32"/>
          <w:szCs w:val="32"/>
        </w:rPr>
        <w:t>破产</w:t>
      </w:r>
      <w:r w:rsidR="006E0AB6">
        <w:rPr>
          <w:rFonts w:ascii="仿宋" w:eastAsia="仿宋" w:hAnsi="仿宋" w:hint="eastAsia"/>
          <w:spacing w:val="-4"/>
          <w:sz w:val="32"/>
          <w:szCs w:val="32"/>
        </w:rPr>
        <w:t>审判</w:t>
      </w:r>
      <w:r w:rsidR="00D17802" w:rsidRPr="00494FB2">
        <w:rPr>
          <w:rFonts w:ascii="仿宋" w:eastAsia="仿宋" w:hAnsi="仿宋" w:hint="eastAsia"/>
          <w:spacing w:val="-4"/>
          <w:sz w:val="32"/>
          <w:szCs w:val="32"/>
        </w:rPr>
        <w:t>疑难复杂问题</w:t>
      </w:r>
      <w:r w:rsidR="006E0AB6">
        <w:rPr>
          <w:rFonts w:ascii="仿宋" w:eastAsia="仿宋" w:hAnsi="仿宋" w:hint="eastAsia"/>
          <w:spacing w:val="-4"/>
          <w:sz w:val="32"/>
          <w:szCs w:val="32"/>
        </w:rPr>
        <w:t>组织</w:t>
      </w:r>
      <w:r w:rsidRPr="00494FB2">
        <w:rPr>
          <w:rFonts w:ascii="仿宋" w:eastAsia="仿宋" w:hAnsi="仿宋" w:hint="eastAsia"/>
          <w:spacing w:val="-4"/>
          <w:sz w:val="32"/>
          <w:szCs w:val="32"/>
        </w:rPr>
        <w:t>业务学习</w:t>
      </w:r>
      <w:r w:rsidR="00D17802">
        <w:rPr>
          <w:rFonts w:ascii="仿宋" w:eastAsia="仿宋" w:hAnsi="仿宋" w:hint="eastAsia"/>
          <w:spacing w:val="-4"/>
          <w:sz w:val="32"/>
          <w:szCs w:val="32"/>
        </w:rPr>
        <w:t>、</w:t>
      </w:r>
      <w:r w:rsidRPr="00494FB2">
        <w:rPr>
          <w:rFonts w:ascii="仿宋" w:eastAsia="仿宋" w:hAnsi="仿宋" w:hint="eastAsia"/>
          <w:spacing w:val="-4"/>
          <w:sz w:val="32"/>
          <w:szCs w:val="32"/>
        </w:rPr>
        <w:t>交流探讨，统一破产案件</w:t>
      </w:r>
      <w:r w:rsidR="00800657">
        <w:rPr>
          <w:rFonts w:ascii="仿宋" w:eastAsia="仿宋" w:hAnsi="仿宋" w:hint="eastAsia"/>
          <w:spacing w:val="-4"/>
          <w:sz w:val="32"/>
          <w:szCs w:val="32"/>
        </w:rPr>
        <w:t>裁判</w:t>
      </w:r>
      <w:r w:rsidRPr="00494FB2">
        <w:rPr>
          <w:rFonts w:ascii="仿宋" w:eastAsia="仿宋" w:hAnsi="仿宋" w:hint="eastAsia"/>
          <w:spacing w:val="-4"/>
          <w:sz w:val="32"/>
          <w:szCs w:val="32"/>
        </w:rPr>
        <w:t>尺度</w:t>
      </w:r>
      <w:r w:rsidR="00D17802">
        <w:rPr>
          <w:rFonts w:ascii="仿宋" w:eastAsia="仿宋" w:hAnsi="仿宋" w:hint="eastAsia"/>
          <w:spacing w:val="-4"/>
          <w:sz w:val="32"/>
          <w:szCs w:val="32"/>
        </w:rPr>
        <w:t>。</w:t>
      </w:r>
      <w:r w:rsidRPr="00494FB2">
        <w:rPr>
          <w:rFonts w:ascii="仿宋" w:eastAsia="仿宋" w:hAnsi="仿宋" w:hint="eastAsia"/>
          <w:spacing w:val="-4"/>
          <w:sz w:val="32"/>
          <w:szCs w:val="32"/>
        </w:rPr>
        <w:t>完善管理人培训、考核制度，切实提升管理</w:t>
      </w:r>
      <w:r w:rsidR="00D17802">
        <w:rPr>
          <w:rFonts w:ascii="仿宋" w:eastAsia="仿宋" w:hAnsi="仿宋" w:hint="eastAsia"/>
          <w:spacing w:val="-4"/>
          <w:sz w:val="32"/>
          <w:szCs w:val="32"/>
        </w:rPr>
        <w:t>人职业素养和执业能力。进一步落实破产专项基金管理办法，按规定</w:t>
      </w:r>
      <w:r w:rsidR="006E0AB6">
        <w:rPr>
          <w:rFonts w:ascii="仿宋" w:eastAsia="仿宋" w:hAnsi="仿宋" w:hint="eastAsia"/>
          <w:spacing w:val="-4"/>
          <w:sz w:val="32"/>
          <w:szCs w:val="32"/>
        </w:rPr>
        <w:t>向已获得报酬的管理人</w:t>
      </w:r>
      <w:r w:rsidR="00D17802">
        <w:rPr>
          <w:rFonts w:ascii="仿宋" w:eastAsia="仿宋" w:hAnsi="仿宋" w:hint="eastAsia"/>
          <w:spacing w:val="-4"/>
          <w:sz w:val="32"/>
          <w:szCs w:val="32"/>
        </w:rPr>
        <w:t>提取破产专项基金</w:t>
      </w:r>
      <w:r w:rsidR="006E0AB6">
        <w:rPr>
          <w:rFonts w:ascii="仿宋" w:eastAsia="仿宋" w:hAnsi="仿宋" w:hint="eastAsia"/>
          <w:spacing w:val="-4"/>
          <w:sz w:val="32"/>
          <w:szCs w:val="32"/>
        </w:rPr>
        <w:t>，</w:t>
      </w:r>
      <w:r w:rsidRPr="003D349A">
        <w:rPr>
          <w:rFonts w:ascii="仿宋" w:eastAsia="仿宋" w:hAnsi="仿宋" w:hint="eastAsia"/>
          <w:spacing w:val="-4"/>
          <w:sz w:val="32"/>
          <w:szCs w:val="32"/>
        </w:rPr>
        <w:t>加强对破产</w:t>
      </w:r>
      <w:r w:rsidR="004248BC" w:rsidRPr="00157509">
        <w:rPr>
          <w:rFonts w:ascii="仿宋" w:eastAsia="仿宋" w:hAnsi="仿宋" w:hint="eastAsia"/>
          <w:spacing w:val="-4"/>
          <w:sz w:val="32"/>
          <w:szCs w:val="32"/>
        </w:rPr>
        <w:t>专项</w:t>
      </w:r>
      <w:r w:rsidRPr="003D349A">
        <w:rPr>
          <w:rFonts w:ascii="仿宋" w:eastAsia="仿宋" w:hAnsi="仿宋" w:hint="eastAsia"/>
          <w:spacing w:val="-4"/>
          <w:sz w:val="32"/>
          <w:szCs w:val="32"/>
        </w:rPr>
        <w:t>基金的管理，</w:t>
      </w:r>
      <w:r w:rsidRPr="00494FB2">
        <w:rPr>
          <w:rFonts w:ascii="仿宋" w:eastAsia="仿宋" w:hAnsi="仿宋" w:hint="eastAsia"/>
          <w:spacing w:val="-4"/>
          <w:sz w:val="32"/>
          <w:szCs w:val="32"/>
        </w:rPr>
        <w:t>切实提高管理人的工作积极性。</w:t>
      </w:r>
    </w:p>
    <w:p w:rsidR="003B2247" w:rsidRPr="00E31ADA" w:rsidRDefault="00494FB2" w:rsidP="00E31ADA">
      <w:pPr>
        <w:adjustRightInd w:val="0"/>
        <w:snapToGrid w:val="0"/>
        <w:spacing w:line="600" w:lineRule="exact"/>
        <w:ind w:firstLineChars="200" w:firstLine="624"/>
        <w:rPr>
          <w:rFonts w:ascii="楷体" w:eastAsia="楷体" w:hAnsi="楷体"/>
          <w:spacing w:val="-4"/>
          <w:sz w:val="32"/>
          <w:szCs w:val="32"/>
        </w:rPr>
      </w:pPr>
      <w:r w:rsidRPr="00494FB2">
        <w:rPr>
          <w:rFonts w:ascii="楷体" w:eastAsia="楷体" w:hAnsi="楷体" w:hint="eastAsia"/>
          <w:spacing w:val="-4"/>
          <w:sz w:val="32"/>
          <w:szCs w:val="32"/>
        </w:rPr>
        <w:t>3.进一步拓展府院联动子机制</w:t>
      </w:r>
      <w:r w:rsidR="00E31ADA">
        <w:rPr>
          <w:rFonts w:ascii="楷体" w:eastAsia="楷体" w:hAnsi="楷体" w:hint="eastAsia"/>
          <w:spacing w:val="-4"/>
          <w:sz w:val="32"/>
          <w:szCs w:val="32"/>
        </w:rPr>
        <w:t>。</w:t>
      </w:r>
      <w:bookmarkStart w:id="0" w:name="_GoBack"/>
      <w:bookmarkEnd w:id="0"/>
      <w:r w:rsidRPr="00494FB2">
        <w:rPr>
          <w:rFonts w:ascii="仿宋" w:eastAsia="仿宋" w:hAnsi="仿宋" w:hint="eastAsia"/>
          <w:spacing w:val="-4"/>
          <w:sz w:val="32"/>
          <w:szCs w:val="32"/>
        </w:rPr>
        <w:t>在</w:t>
      </w:r>
      <w:r w:rsidR="005100E6">
        <w:rPr>
          <w:rFonts w:ascii="仿宋" w:eastAsia="仿宋" w:hAnsi="仿宋" w:hint="eastAsia"/>
          <w:spacing w:val="-4"/>
          <w:sz w:val="32"/>
          <w:szCs w:val="32"/>
        </w:rPr>
        <w:t>已建立的</w:t>
      </w:r>
      <w:r w:rsidRPr="00494FB2">
        <w:rPr>
          <w:rFonts w:ascii="仿宋" w:eastAsia="仿宋" w:hAnsi="仿宋" w:hint="eastAsia"/>
          <w:spacing w:val="-4"/>
          <w:sz w:val="32"/>
          <w:szCs w:val="32"/>
        </w:rPr>
        <w:t>破产案件府院联动协调机制下，</w:t>
      </w:r>
      <w:r w:rsidR="005100E6">
        <w:rPr>
          <w:rFonts w:ascii="仿宋" w:eastAsia="仿宋" w:hAnsi="仿宋" w:hint="eastAsia"/>
          <w:spacing w:val="-4"/>
          <w:sz w:val="32"/>
          <w:szCs w:val="32"/>
        </w:rPr>
        <w:t>建立</w:t>
      </w:r>
      <w:r w:rsidR="00EA3835">
        <w:rPr>
          <w:rFonts w:ascii="仿宋" w:eastAsia="仿宋" w:hAnsi="仿宋" w:hint="eastAsia"/>
          <w:spacing w:val="-4"/>
          <w:sz w:val="32"/>
          <w:szCs w:val="32"/>
        </w:rPr>
        <w:t>健全</w:t>
      </w:r>
      <w:r w:rsidRPr="00494FB2">
        <w:rPr>
          <w:rFonts w:ascii="仿宋" w:eastAsia="仿宋" w:hAnsi="仿宋" w:hint="eastAsia"/>
          <w:spacing w:val="-4"/>
          <w:sz w:val="32"/>
          <w:szCs w:val="32"/>
        </w:rPr>
        <w:t>府院联动子机制。</w:t>
      </w:r>
      <w:r w:rsidR="00EA3835">
        <w:rPr>
          <w:rFonts w:ascii="仿宋" w:eastAsia="仿宋" w:hAnsi="仿宋" w:hint="eastAsia"/>
          <w:spacing w:val="-4"/>
          <w:sz w:val="32"/>
          <w:szCs w:val="32"/>
        </w:rPr>
        <w:t>探索构建重整、和解企业信用修复常态化工作机制，</w:t>
      </w:r>
      <w:r w:rsidR="00EA3835" w:rsidRPr="00494FB2">
        <w:rPr>
          <w:rFonts w:ascii="仿宋" w:eastAsia="仿宋" w:hAnsi="仿宋" w:hint="eastAsia"/>
          <w:spacing w:val="-4"/>
          <w:sz w:val="32"/>
          <w:szCs w:val="32"/>
        </w:rPr>
        <w:t>联合</w:t>
      </w:r>
      <w:r w:rsidR="00EA3835">
        <w:rPr>
          <w:rFonts w:ascii="仿宋" w:eastAsia="仿宋" w:hAnsi="仿宋" w:hint="eastAsia"/>
          <w:spacing w:val="-4"/>
          <w:sz w:val="32"/>
          <w:szCs w:val="32"/>
        </w:rPr>
        <w:t>相</w:t>
      </w:r>
      <w:r w:rsidR="00EA3835" w:rsidRPr="00494FB2">
        <w:rPr>
          <w:rFonts w:ascii="仿宋" w:eastAsia="仿宋" w:hAnsi="仿宋" w:hint="eastAsia"/>
          <w:spacing w:val="-4"/>
          <w:sz w:val="32"/>
          <w:szCs w:val="32"/>
        </w:rPr>
        <w:t>关部门</w:t>
      </w:r>
      <w:r w:rsidR="00EA3835">
        <w:rPr>
          <w:rFonts w:ascii="仿宋" w:eastAsia="仿宋" w:hAnsi="仿宋" w:hint="eastAsia"/>
          <w:spacing w:val="-4"/>
          <w:sz w:val="32"/>
          <w:szCs w:val="32"/>
        </w:rPr>
        <w:t>共同支持破产重整、和解企业恢复</w:t>
      </w:r>
      <w:r w:rsidR="00EA3835" w:rsidRPr="00494FB2">
        <w:rPr>
          <w:rFonts w:ascii="仿宋" w:eastAsia="仿宋" w:hAnsi="仿宋" w:hint="eastAsia"/>
          <w:spacing w:val="-4"/>
          <w:sz w:val="32"/>
          <w:szCs w:val="32"/>
        </w:rPr>
        <w:t>信用，促进企业脱困重生。</w:t>
      </w:r>
      <w:r w:rsidR="006E0AB6">
        <w:rPr>
          <w:rFonts w:ascii="仿宋" w:eastAsia="仿宋" w:hAnsi="仿宋" w:hint="eastAsia"/>
          <w:spacing w:val="-4"/>
          <w:sz w:val="32"/>
          <w:szCs w:val="32"/>
        </w:rPr>
        <w:t>推进</w:t>
      </w:r>
      <w:r w:rsidR="00773DAB">
        <w:rPr>
          <w:rFonts w:ascii="仿宋" w:eastAsia="仿宋" w:hAnsi="仿宋" w:hint="eastAsia"/>
          <w:spacing w:val="-4"/>
          <w:sz w:val="32"/>
          <w:szCs w:val="32"/>
        </w:rPr>
        <w:t>破产审判数字化建设，推动“融畅”破产案件管理系统</w:t>
      </w:r>
      <w:r w:rsidR="00CA0F27">
        <w:rPr>
          <w:rFonts w:ascii="仿宋" w:eastAsia="仿宋" w:hAnsi="仿宋" w:hint="eastAsia"/>
          <w:spacing w:val="-4"/>
          <w:sz w:val="32"/>
          <w:szCs w:val="32"/>
        </w:rPr>
        <w:t>功能</w:t>
      </w:r>
      <w:r w:rsidR="00773DAB">
        <w:rPr>
          <w:rFonts w:ascii="仿宋" w:eastAsia="仿宋" w:hAnsi="仿宋" w:hint="eastAsia"/>
          <w:spacing w:val="-4"/>
          <w:sz w:val="32"/>
          <w:szCs w:val="32"/>
        </w:rPr>
        <w:t>升级，在府院联动数据平台上增设更多</w:t>
      </w:r>
      <w:r w:rsidR="005100E6">
        <w:rPr>
          <w:rFonts w:ascii="仿宋" w:eastAsia="仿宋" w:hAnsi="仿宋" w:hint="eastAsia"/>
          <w:spacing w:val="-4"/>
          <w:sz w:val="32"/>
          <w:szCs w:val="32"/>
        </w:rPr>
        <w:t>破产事务线上办理</w:t>
      </w:r>
      <w:r w:rsidR="00773DAB">
        <w:rPr>
          <w:rFonts w:ascii="仿宋" w:eastAsia="仿宋" w:hAnsi="仿宋" w:hint="eastAsia"/>
          <w:spacing w:val="-4"/>
          <w:sz w:val="32"/>
          <w:szCs w:val="32"/>
        </w:rPr>
        <w:t>接口</w:t>
      </w:r>
      <w:r w:rsidR="005100E6">
        <w:rPr>
          <w:rFonts w:ascii="仿宋" w:eastAsia="仿宋" w:hAnsi="仿宋" w:hint="eastAsia"/>
          <w:spacing w:val="-4"/>
          <w:sz w:val="32"/>
          <w:szCs w:val="32"/>
        </w:rPr>
        <w:t>，</w:t>
      </w:r>
      <w:r w:rsidR="00CA0F27">
        <w:rPr>
          <w:rFonts w:ascii="仿宋" w:eastAsia="仿宋" w:hAnsi="仿宋" w:hint="eastAsia"/>
          <w:color w:val="000000"/>
          <w:spacing w:val="-4"/>
          <w:sz w:val="32"/>
          <w:szCs w:val="32"/>
        </w:rPr>
        <w:t>满足</w:t>
      </w:r>
      <w:r w:rsidR="005100E6" w:rsidRPr="00D35C9C">
        <w:rPr>
          <w:rFonts w:ascii="仿宋" w:eastAsia="仿宋" w:hAnsi="仿宋" w:hint="eastAsia"/>
          <w:color w:val="000000"/>
          <w:spacing w:val="-4"/>
          <w:sz w:val="32"/>
          <w:szCs w:val="32"/>
        </w:rPr>
        <w:t>破产审判提速、降费、便捷的</w:t>
      </w:r>
      <w:r w:rsidR="006E0AB6">
        <w:rPr>
          <w:rFonts w:ascii="仿宋" w:eastAsia="仿宋" w:hAnsi="仿宋" w:hint="eastAsia"/>
          <w:color w:val="000000"/>
          <w:spacing w:val="-4"/>
          <w:sz w:val="32"/>
          <w:szCs w:val="32"/>
        </w:rPr>
        <w:t>需求</w:t>
      </w:r>
      <w:r w:rsidR="005100E6">
        <w:rPr>
          <w:rFonts w:ascii="仿宋" w:eastAsia="仿宋" w:hAnsi="仿宋" w:hint="eastAsia"/>
          <w:spacing w:val="-4"/>
          <w:sz w:val="32"/>
          <w:szCs w:val="32"/>
        </w:rPr>
        <w:t>。</w:t>
      </w:r>
      <w:r w:rsidR="00E77D68">
        <w:rPr>
          <w:rFonts w:ascii="仿宋" w:eastAsia="仿宋" w:hAnsi="仿宋" w:hint="eastAsia"/>
          <w:spacing w:val="-4"/>
          <w:sz w:val="32"/>
          <w:szCs w:val="32"/>
        </w:rPr>
        <w:t>加强对</w:t>
      </w:r>
      <w:r w:rsidR="00C22597">
        <w:rPr>
          <w:rFonts w:ascii="仿宋" w:eastAsia="仿宋" w:hAnsi="仿宋" w:hint="eastAsia"/>
          <w:spacing w:val="-4"/>
          <w:sz w:val="32"/>
          <w:szCs w:val="32"/>
        </w:rPr>
        <w:t>投资人库</w:t>
      </w:r>
      <w:r w:rsidR="00E77D68">
        <w:rPr>
          <w:rFonts w:ascii="仿宋" w:eastAsia="仿宋" w:hAnsi="仿宋" w:hint="eastAsia"/>
          <w:spacing w:val="-4"/>
          <w:sz w:val="32"/>
          <w:szCs w:val="32"/>
        </w:rPr>
        <w:t>的</w:t>
      </w:r>
      <w:r w:rsidR="00C22597">
        <w:rPr>
          <w:rFonts w:ascii="仿宋" w:eastAsia="仿宋" w:hAnsi="仿宋" w:hint="eastAsia"/>
          <w:spacing w:val="-4"/>
          <w:sz w:val="32"/>
          <w:szCs w:val="32"/>
        </w:rPr>
        <w:t>信息化改造，</w:t>
      </w:r>
      <w:r w:rsidR="00E77D68">
        <w:rPr>
          <w:rFonts w:ascii="仿宋" w:eastAsia="仿宋" w:hAnsi="仿宋" w:hint="eastAsia"/>
          <w:spacing w:val="-4"/>
          <w:sz w:val="32"/>
          <w:szCs w:val="32"/>
        </w:rPr>
        <w:t>进一步细化分类管理</w:t>
      </w:r>
      <w:r w:rsidR="00C22597">
        <w:rPr>
          <w:rFonts w:ascii="仿宋" w:eastAsia="仿宋" w:hAnsi="仿宋" w:hint="eastAsia"/>
          <w:spacing w:val="-4"/>
          <w:sz w:val="32"/>
          <w:szCs w:val="32"/>
        </w:rPr>
        <w:t>破产资</w:t>
      </w:r>
      <w:r w:rsidR="00C22597">
        <w:rPr>
          <w:rFonts w:ascii="仿宋" w:eastAsia="仿宋" w:hAnsi="仿宋" w:hint="eastAsia"/>
          <w:spacing w:val="-4"/>
          <w:sz w:val="32"/>
          <w:szCs w:val="32"/>
        </w:rPr>
        <w:lastRenderedPageBreak/>
        <w:t>产数据信息，实现投资方向与资产信息精准匹配。</w:t>
      </w:r>
    </w:p>
    <w:sectPr w:rsidR="003B2247" w:rsidRPr="00E31ADA">
      <w:headerReference w:type="default" r:id="rId16"/>
      <w:footerReference w:type="default" r:id="rId17"/>
      <w:footnotePr>
        <w:numFmt w:val="decimalEnclosedCircleChinese"/>
        <w:numRestart w:val="eachPage"/>
      </w:footnotePr>
      <w:pgSz w:w="11907" w:h="16839"/>
      <w:pgMar w:top="1701" w:right="1418" w:bottom="1701" w:left="1418" w:header="851" w:footer="624" w:gutter="0"/>
      <w:pgNumType w:start="1"/>
      <w:cols w:space="720"/>
      <w:docGrid w:type="lines"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8B5554" w15:done="0"/>
  <w15:commentEx w15:paraId="1CE3726E" w15:done="0"/>
  <w15:commentEx w15:paraId="12DB4D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5E" w:rsidRDefault="00052F5E">
      <w:r>
        <w:separator/>
      </w:r>
    </w:p>
  </w:endnote>
  <w:endnote w:type="continuationSeparator" w:id="0">
    <w:p w:rsidR="00052F5E" w:rsidRDefault="0005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91" w:rsidRDefault="00410B91">
    <w:pPr>
      <w:pStyle w:val="a5"/>
      <w:jc w:val="center"/>
      <w:rPr>
        <w:sz w:val="24"/>
        <w:szCs w:val="24"/>
      </w:rPr>
    </w:pPr>
    <w:r>
      <w:rPr>
        <w:rFonts w:hint="eastAsia"/>
        <w:sz w:val="24"/>
        <w:szCs w:val="24"/>
      </w:rPr>
      <w:t>—</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E31ADA" w:rsidRPr="00E31ADA">
      <w:rPr>
        <w:noProof/>
        <w:sz w:val="24"/>
        <w:szCs w:val="24"/>
        <w:lang w:val="zh-CN"/>
      </w:rPr>
      <w:t>2</w:t>
    </w:r>
    <w:r>
      <w:rPr>
        <w:rFonts w:hint="eastAsia"/>
        <w:sz w:val="24"/>
        <w:szCs w:val="24"/>
      </w:rPr>
      <w:fldChar w:fldCharType="end"/>
    </w:r>
    <w:r>
      <w:rPr>
        <w:rFonts w:hint="eastAsia"/>
        <w:sz w:val="24"/>
        <w:szCs w:val="24"/>
      </w:rPr>
      <w:t xml:space="preserve"> </w:t>
    </w:r>
    <w:r>
      <w:rPr>
        <w:rFonts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5E" w:rsidRDefault="00052F5E">
      <w:r>
        <w:separator/>
      </w:r>
    </w:p>
  </w:footnote>
  <w:footnote w:type="continuationSeparator" w:id="0">
    <w:p w:rsidR="00052F5E" w:rsidRDefault="00052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91" w:rsidRDefault="00410B91">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智慧">
    <w15:presenceInfo w15:providerId="WPS Office" w15:userId="335773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F457F5"/>
    <w:rsid w:val="000008A9"/>
    <w:rsid w:val="0001050C"/>
    <w:rsid w:val="00020C6A"/>
    <w:rsid w:val="00027BC0"/>
    <w:rsid w:val="000308D8"/>
    <w:rsid w:val="00033A2D"/>
    <w:rsid w:val="000346FF"/>
    <w:rsid w:val="0004577A"/>
    <w:rsid w:val="00052F5E"/>
    <w:rsid w:val="00060995"/>
    <w:rsid w:val="00067655"/>
    <w:rsid w:val="00070B52"/>
    <w:rsid w:val="00081CE6"/>
    <w:rsid w:val="000868BE"/>
    <w:rsid w:val="00091951"/>
    <w:rsid w:val="00093DE6"/>
    <w:rsid w:val="00096339"/>
    <w:rsid w:val="000964E4"/>
    <w:rsid w:val="000B105D"/>
    <w:rsid w:val="000B5010"/>
    <w:rsid w:val="000D043D"/>
    <w:rsid w:val="000D50E4"/>
    <w:rsid w:val="000D7346"/>
    <w:rsid w:val="00110F2D"/>
    <w:rsid w:val="0011151B"/>
    <w:rsid w:val="00111A09"/>
    <w:rsid w:val="00112603"/>
    <w:rsid w:val="00117BE3"/>
    <w:rsid w:val="00127359"/>
    <w:rsid w:val="00155FF9"/>
    <w:rsid w:val="001574E1"/>
    <w:rsid w:val="00157509"/>
    <w:rsid w:val="001704A9"/>
    <w:rsid w:val="00171499"/>
    <w:rsid w:val="001827BF"/>
    <w:rsid w:val="00185A97"/>
    <w:rsid w:val="00191F2A"/>
    <w:rsid w:val="00197A30"/>
    <w:rsid w:val="001A74BA"/>
    <w:rsid w:val="001B799B"/>
    <w:rsid w:val="001C5A8E"/>
    <w:rsid w:val="001E4D45"/>
    <w:rsid w:val="001F1EE9"/>
    <w:rsid w:val="00204260"/>
    <w:rsid w:val="0020447B"/>
    <w:rsid w:val="00206D78"/>
    <w:rsid w:val="00226FD0"/>
    <w:rsid w:val="00252334"/>
    <w:rsid w:val="0026123D"/>
    <w:rsid w:val="00265CE7"/>
    <w:rsid w:val="002737DC"/>
    <w:rsid w:val="0029099E"/>
    <w:rsid w:val="002B77BA"/>
    <w:rsid w:val="002C3C9A"/>
    <w:rsid w:val="002C4CC2"/>
    <w:rsid w:val="002E1DFE"/>
    <w:rsid w:val="002E3D43"/>
    <w:rsid w:val="002F18A0"/>
    <w:rsid w:val="002F7D16"/>
    <w:rsid w:val="0030356A"/>
    <w:rsid w:val="0033438E"/>
    <w:rsid w:val="003530B4"/>
    <w:rsid w:val="00361985"/>
    <w:rsid w:val="00364A77"/>
    <w:rsid w:val="0036558E"/>
    <w:rsid w:val="00367113"/>
    <w:rsid w:val="00367A66"/>
    <w:rsid w:val="00371445"/>
    <w:rsid w:val="00382399"/>
    <w:rsid w:val="00392A36"/>
    <w:rsid w:val="003A17DA"/>
    <w:rsid w:val="003A1CDF"/>
    <w:rsid w:val="003B2247"/>
    <w:rsid w:val="003B3F34"/>
    <w:rsid w:val="003B781C"/>
    <w:rsid w:val="003C4C8E"/>
    <w:rsid w:val="003D1589"/>
    <w:rsid w:val="003D349A"/>
    <w:rsid w:val="003E7AF6"/>
    <w:rsid w:val="00401F36"/>
    <w:rsid w:val="00410B91"/>
    <w:rsid w:val="0041181A"/>
    <w:rsid w:val="004248BC"/>
    <w:rsid w:val="00427E99"/>
    <w:rsid w:val="00435E9D"/>
    <w:rsid w:val="00443149"/>
    <w:rsid w:val="0044554D"/>
    <w:rsid w:val="0048017F"/>
    <w:rsid w:val="00485045"/>
    <w:rsid w:val="00490494"/>
    <w:rsid w:val="00492CD7"/>
    <w:rsid w:val="00494FB2"/>
    <w:rsid w:val="0049553E"/>
    <w:rsid w:val="00495E71"/>
    <w:rsid w:val="004A10F7"/>
    <w:rsid w:val="004A4AD6"/>
    <w:rsid w:val="004A6938"/>
    <w:rsid w:val="004A7705"/>
    <w:rsid w:val="004D5904"/>
    <w:rsid w:val="004E6F5C"/>
    <w:rsid w:val="005018D3"/>
    <w:rsid w:val="00502071"/>
    <w:rsid w:val="005100E6"/>
    <w:rsid w:val="00531599"/>
    <w:rsid w:val="0053572D"/>
    <w:rsid w:val="00537D23"/>
    <w:rsid w:val="0054266A"/>
    <w:rsid w:val="00544CBF"/>
    <w:rsid w:val="00556A75"/>
    <w:rsid w:val="00576BF2"/>
    <w:rsid w:val="00582905"/>
    <w:rsid w:val="00593D0E"/>
    <w:rsid w:val="00594C7D"/>
    <w:rsid w:val="00597FAA"/>
    <w:rsid w:val="005B0ECC"/>
    <w:rsid w:val="005B5B59"/>
    <w:rsid w:val="005E7CA8"/>
    <w:rsid w:val="00627A42"/>
    <w:rsid w:val="006347F8"/>
    <w:rsid w:val="006371B4"/>
    <w:rsid w:val="006458D8"/>
    <w:rsid w:val="00650C1F"/>
    <w:rsid w:val="00655690"/>
    <w:rsid w:val="00655D3C"/>
    <w:rsid w:val="00657D68"/>
    <w:rsid w:val="00664445"/>
    <w:rsid w:val="0067042F"/>
    <w:rsid w:val="00680B5E"/>
    <w:rsid w:val="00692B86"/>
    <w:rsid w:val="00695EE4"/>
    <w:rsid w:val="006B0341"/>
    <w:rsid w:val="006C5033"/>
    <w:rsid w:val="006E0AB6"/>
    <w:rsid w:val="006E2DD7"/>
    <w:rsid w:val="006E4F00"/>
    <w:rsid w:val="006F7D6B"/>
    <w:rsid w:val="007032A6"/>
    <w:rsid w:val="00726E80"/>
    <w:rsid w:val="00736CEE"/>
    <w:rsid w:val="007536E5"/>
    <w:rsid w:val="00753C1B"/>
    <w:rsid w:val="00773DAB"/>
    <w:rsid w:val="00782692"/>
    <w:rsid w:val="00784B18"/>
    <w:rsid w:val="00791B81"/>
    <w:rsid w:val="007A55DA"/>
    <w:rsid w:val="007C1F06"/>
    <w:rsid w:val="007C5EC0"/>
    <w:rsid w:val="007C5F66"/>
    <w:rsid w:val="007C6692"/>
    <w:rsid w:val="007C7861"/>
    <w:rsid w:val="007D55BE"/>
    <w:rsid w:val="007F47DF"/>
    <w:rsid w:val="00800657"/>
    <w:rsid w:val="00803F89"/>
    <w:rsid w:val="00815D40"/>
    <w:rsid w:val="0085094D"/>
    <w:rsid w:val="008551FA"/>
    <w:rsid w:val="00862C66"/>
    <w:rsid w:val="00871681"/>
    <w:rsid w:val="0087176A"/>
    <w:rsid w:val="00873F01"/>
    <w:rsid w:val="008966BA"/>
    <w:rsid w:val="008968F7"/>
    <w:rsid w:val="008974B6"/>
    <w:rsid w:val="008A6AFD"/>
    <w:rsid w:val="008A7B67"/>
    <w:rsid w:val="008D4735"/>
    <w:rsid w:val="008E02DD"/>
    <w:rsid w:val="008F2DC7"/>
    <w:rsid w:val="008F2E88"/>
    <w:rsid w:val="008F5300"/>
    <w:rsid w:val="00903C82"/>
    <w:rsid w:val="00934C34"/>
    <w:rsid w:val="00934D66"/>
    <w:rsid w:val="0094590E"/>
    <w:rsid w:val="0095461A"/>
    <w:rsid w:val="0095478C"/>
    <w:rsid w:val="00960FE8"/>
    <w:rsid w:val="009724B6"/>
    <w:rsid w:val="00974332"/>
    <w:rsid w:val="009A645E"/>
    <w:rsid w:val="009B3145"/>
    <w:rsid w:val="009C0EDB"/>
    <w:rsid w:val="009C4172"/>
    <w:rsid w:val="009C675A"/>
    <w:rsid w:val="009D525F"/>
    <w:rsid w:val="009D71B6"/>
    <w:rsid w:val="009E17A5"/>
    <w:rsid w:val="009F6D62"/>
    <w:rsid w:val="00A01BCF"/>
    <w:rsid w:val="00A01C10"/>
    <w:rsid w:val="00A077FB"/>
    <w:rsid w:val="00A16094"/>
    <w:rsid w:val="00A25D53"/>
    <w:rsid w:val="00A505DF"/>
    <w:rsid w:val="00A518C0"/>
    <w:rsid w:val="00A63265"/>
    <w:rsid w:val="00A77873"/>
    <w:rsid w:val="00A81360"/>
    <w:rsid w:val="00A86699"/>
    <w:rsid w:val="00AB03F1"/>
    <w:rsid w:val="00AB77B7"/>
    <w:rsid w:val="00AC6E06"/>
    <w:rsid w:val="00AC77D8"/>
    <w:rsid w:val="00AD7E12"/>
    <w:rsid w:val="00AE2CE8"/>
    <w:rsid w:val="00AF3B1A"/>
    <w:rsid w:val="00B0046F"/>
    <w:rsid w:val="00B14920"/>
    <w:rsid w:val="00B36426"/>
    <w:rsid w:val="00B60774"/>
    <w:rsid w:val="00B60A54"/>
    <w:rsid w:val="00B70004"/>
    <w:rsid w:val="00B9452F"/>
    <w:rsid w:val="00BA4B3E"/>
    <w:rsid w:val="00BA4C2E"/>
    <w:rsid w:val="00BB4F73"/>
    <w:rsid w:val="00BB7392"/>
    <w:rsid w:val="00BC02B8"/>
    <w:rsid w:val="00BC4971"/>
    <w:rsid w:val="00BD0B37"/>
    <w:rsid w:val="00BD26E5"/>
    <w:rsid w:val="00BE11A8"/>
    <w:rsid w:val="00BE56B2"/>
    <w:rsid w:val="00BF2DE1"/>
    <w:rsid w:val="00BF6080"/>
    <w:rsid w:val="00C22597"/>
    <w:rsid w:val="00C2336C"/>
    <w:rsid w:val="00C2494E"/>
    <w:rsid w:val="00C351C7"/>
    <w:rsid w:val="00C3669A"/>
    <w:rsid w:val="00C442D2"/>
    <w:rsid w:val="00C45999"/>
    <w:rsid w:val="00C556C0"/>
    <w:rsid w:val="00C702C2"/>
    <w:rsid w:val="00C92C5E"/>
    <w:rsid w:val="00CA0F27"/>
    <w:rsid w:val="00CA1316"/>
    <w:rsid w:val="00CA1DFB"/>
    <w:rsid w:val="00CA3EB4"/>
    <w:rsid w:val="00CB0456"/>
    <w:rsid w:val="00CB2BB1"/>
    <w:rsid w:val="00CE6DC4"/>
    <w:rsid w:val="00D07800"/>
    <w:rsid w:val="00D1017F"/>
    <w:rsid w:val="00D12B1C"/>
    <w:rsid w:val="00D17802"/>
    <w:rsid w:val="00D246E6"/>
    <w:rsid w:val="00D25D45"/>
    <w:rsid w:val="00D275C5"/>
    <w:rsid w:val="00D53FAD"/>
    <w:rsid w:val="00D6386B"/>
    <w:rsid w:val="00D71043"/>
    <w:rsid w:val="00D732FC"/>
    <w:rsid w:val="00D73777"/>
    <w:rsid w:val="00D75FD0"/>
    <w:rsid w:val="00D90ED0"/>
    <w:rsid w:val="00DB5866"/>
    <w:rsid w:val="00DC4B1A"/>
    <w:rsid w:val="00DD7553"/>
    <w:rsid w:val="00DE2B18"/>
    <w:rsid w:val="00DF0834"/>
    <w:rsid w:val="00E0245C"/>
    <w:rsid w:val="00E029C4"/>
    <w:rsid w:val="00E02B1B"/>
    <w:rsid w:val="00E16EE4"/>
    <w:rsid w:val="00E31ADA"/>
    <w:rsid w:val="00E31FF2"/>
    <w:rsid w:val="00E33FDA"/>
    <w:rsid w:val="00E4639F"/>
    <w:rsid w:val="00E551BB"/>
    <w:rsid w:val="00E606FE"/>
    <w:rsid w:val="00E64C2C"/>
    <w:rsid w:val="00E664F8"/>
    <w:rsid w:val="00E724DE"/>
    <w:rsid w:val="00E73AFA"/>
    <w:rsid w:val="00E77D68"/>
    <w:rsid w:val="00E8275A"/>
    <w:rsid w:val="00E84590"/>
    <w:rsid w:val="00E863A9"/>
    <w:rsid w:val="00EA3835"/>
    <w:rsid w:val="00EC11FB"/>
    <w:rsid w:val="00EC193D"/>
    <w:rsid w:val="00ED15E1"/>
    <w:rsid w:val="00ED2BC2"/>
    <w:rsid w:val="00ED5118"/>
    <w:rsid w:val="00EE0BF6"/>
    <w:rsid w:val="00EF0A0B"/>
    <w:rsid w:val="00EF3D4A"/>
    <w:rsid w:val="00F0235F"/>
    <w:rsid w:val="00F160EC"/>
    <w:rsid w:val="00F33A86"/>
    <w:rsid w:val="00F41F1B"/>
    <w:rsid w:val="00F457F5"/>
    <w:rsid w:val="00F63A2D"/>
    <w:rsid w:val="00F6451B"/>
    <w:rsid w:val="00F77480"/>
    <w:rsid w:val="00F81A23"/>
    <w:rsid w:val="00F90ACE"/>
    <w:rsid w:val="00F939CB"/>
    <w:rsid w:val="00F94E63"/>
    <w:rsid w:val="00FA42D2"/>
    <w:rsid w:val="00FA43E9"/>
    <w:rsid w:val="00FC57D4"/>
    <w:rsid w:val="00FE2A9A"/>
    <w:rsid w:val="08314CF2"/>
    <w:rsid w:val="098156CC"/>
    <w:rsid w:val="0D115F1E"/>
    <w:rsid w:val="0E380861"/>
    <w:rsid w:val="1ADA10E4"/>
    <w:rsid w:val="2FC27373"/>
    <w:rsid w:val="32496611"/>
    <w:rsid w:val="32F45AA2"/>
    <w:rsid w:val="39B457DF"/>
    <w:rsid w:val="3B005CDB"/>
    <w:rsid w:val="429338D8"/>
    <w:rsid w:val="44B94FC0"/>
    <w:rsid w:val="452627E2"/>
    <w:rsid w:val="457479F1"/>
    <w:rsid w:val="48C910CF"/>
    <w:rsid w:val="4B4F1200"/>
    <w:rsid w:val="4C611387"/>
    <w:rsid w:val="4D7560B4"/>
    <w:rsid w:val="51850890"/>
    <w:rsid w:val="51C17EA0"/>
    <w:rsid w:val="555461F4"/>
    <w:rsid w:val="55750E59"/>
    <w:rsid w:val="6B51599F"/>
    <w:rsid w:val="73C51294"/>
    <w:rsid w:val="79AC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rFonts w:eastAsia="宋体"/>
      <w:kern w:val="0"/>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qFormat/>
    <w:rPr>
      <w:sz w:val="21"/>
      <w:szCs w:val="21"/>
    </w:rPr>
  </w:style>
  <w:style w:type="character" w:customStyle="1" w:styleId="Char1">
    <w:name w:val="页脚 Char"/>
    <w:basedOn w:val="a0"/>
    <w:link w:val="a5"/>
    <w:qFormat/>
    <w:rPr>
      <w:rFonts w:ascii="Times New Roman" w:eastAsia="宋体" w:hAnsi="Times New Roman" w:cs="Times New Roman"/>
      <w:kern w:val="0"/>
      <w:sz w:val="18"/>
      <w:szCs w:val="18"/>
    </w:rPr>
  </w:style>
  <w:style w:type="character" w:customStyle="1" w:styleId="Char2">
    <w:name w:val="页眉 Char"/>
    <w:basedOn w:val="a0"/>
    <w:link w:val="a6"/>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qFormat/>
    <w:rPr>
      <w:rFonts w:ascii="Times New Roman" w:eastAsia="仿宋_GB2312" w:hAnsi="Times New Roman" w:cs="Times New Roman"/>
      <w:sz w:val="28"/>
      <w:szCs w:val="20"/>
    </w:rPr>
  </w:style>
  <w:style w:type="character" w:customStyle="1" w:styleId="Char3">
    <w:name w:val="批注主题 Char"/>
    <w:basedOn w:val="Char"/>
    <w:link w:val="a7"/>
    <w:uiPriority w:val="99"/>
    <w:semiHidden/>
    <w:qFormat/>
    <w:rPr>
      <w:rFonts w:ascii="Times New Roman" w:eastAsia="仿宋_GB2312" w:hAnsi="Times New Roman"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rFonts w:eastAsia="宋体"/>
      <w:kern w:val="0"/>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qFormat/>
    <w:rPr>
      <w:sz w:val="21"/>
      <w:szCs w:val="21"/>
    </w:rPr>
  </w:style>
  <w:style w:type="character" w:customStyle="1" w:styleId="Char1">
    <w:name w:val="页脚 Char"/>
    <w:basedOn w:val="a0"/>
    <w:link w:val="a5"/>
    <w:qFormat/>
    <w:rPr>
      <w:rFonts w:ascii="Times New Roman" w:eastAsia="宋体" w:hAnsi="Times New Roman" w:cs="Times New Roman"/>
      <w:kern w:val="0"/>
      <w:sz w:val="18"/>
      <w:szCs w:val="18"/>
    </w:rPr>
  </w:style>
  <w:style w:type="character" w:customStyle="1" w:styleId="Char2">
    <w:name w:val="页眉 Char"/>
    <w:basedOn w:val="a0"/>
    <w:link w:val="a6"/>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qFormat/>
    <w:rPr>
      <w:rFonts w:ascii="Times New Roman" w:eastAsia="仿宋_GB2312" w:hAnsi="Times New Roman" w:cs="Times New Roman"/>
      <w:sz w:val="28"/>
      <w:szCs w:val="20"/>
    </w:rPr>
  </w:style>
  <w:style w:type="character" w:customStyle="1" w:styleId="Char3">
    <w:name w:val="批注主题 Char"/>
    <w:basedOn w:val="Char"/>
    <w:link w:val="a7"/>
    <w:uiPriority w:val="99"/>
    <w:semiHidden/>
    <w:qFormat/>
    <w:rPr>
      <w:rFonts w:ascii="Times New Roman" w:eastAsia="仿宋_GB2312"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0285-242D-4E08-8D21-141354B5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14</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薛忠勋</cp:lastModifiedBy>
  <cp:revision>546</cp:revision>
  <dcterms:created xsi:type="dcterms:W3CDTF">2023-01-18T01:56:00Z</dcterms:created>
  <dcterms:modified xsi:type="dcterms:W3CDTF">2023-02-21T02:43:00Z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6F2D2E9CA8684961AB147800D42AF22E</vt:lpwstr>
  </property>
</Properties>
</file>