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934" w:rsidRPr="007F1F4C" w:rsidRDefault="00D70876" w:rsidP="007F1F4C">
      <w:pPr>
        <w:spacing w:line="580" w:lineRule="exact"/>
        <w:jc w:val="center"/>
        <w:rPr>
          <w:rFonts w:ascii="黑体" w:eastAsia="黑体" w:hAnsi="黑体"/>
          <w:sz w:val="44"/>
          <w:szCs w:val="44"/>
        </w:rPr>
      </w:pPr>
      <w:r w:rsidRPr="007F1F4C">
        <w:rPr>
          <w:rFonts w:ascii="黑体" w:eastAsia="黑体" w:hAnsi="黑体" w:hint="eastAsia"/>
          <w:sz w:val="44"/>
          <w:szCs w:val="44"/>
        </w:rPr>
        <w:t>苏 州 市 中 级 人 民 法 院</w:t>
      </w:r>
    </w:p>
    <w:p w:rsidR="001C7934" w:rsidRPr="007F1F4C" w:rsidRDefault="00D70876" w:rsidP="007F1F4C">
      <w:pPr>
        <w:spacing w:line="580" w:lineRule="exact"/>
        <w:jc w:val="center"/>
        <w:rPr>
          <w:rFonts w:ascii="黑体" w:eastAsia="黑体" w:hAnsi="黑体"/>
          <w:sz w:val="44"/>
          <w:szCs w:val="44"/>
        </w:rPr>
      </w:pPr>
      <w:r w:rsidRPr="007F1F4C">
        <w:rPr>
          <w:rFonts w:ascii="黑体" w:eastAsia="黑体" w:hAnsi="黑体" w:hint="eastAsia"/>
          <w:sz w:val="44"/>
          <w:szCs w:val="44"/>
        </w:rPr>
        <w:t>劳动人事审判工作报告(2022)</w:t>
      </w:r>
    </w:p>
    <w:p w:rsidR="001C7934" w:rsidRDefault="001C7934">
      <w:pPr>
        <w:topLinePunct/>
        <w:adjustRightInd w:val="0"/>
        <w:snapToGrid w:val="0"/>
        <w:spacing w:line="569" w:lineRule="exact"/>
        <w:rPr>
          <w:rFonts w:ascii="仿宋" w:hAnsi="仿宋" w:cs="仿宋"/>
          <w:snapToGrid w:val="0"/>
          <w:spacing w:val="-4"/>
          <w:sz w:val="32"/>
          <w:szCs w:val="40"/>
        </w:rPr>
      </w:pPr>
    </w:p>
    <w:p w:rsidR="001C7934" w:rsidRDefault="00D70876">
      <w:pPr>
        <w:topLinePunct/>
        <w:adjustRightInd w:val="0"/>
        <w:snapToGrid w:val="0"/>
        <w:spacing w:line="600" w:lineRule="exact"/>
        <w:ind w:firstLine="636"/>
        <w:rPr>
          <w:rFonts w:ascii="仿宋" w:hAnsi="仿宋" w:cs="仿宋"/>
          <w:snapToGrid w:val="0"/>
          <w:spacing w:val="-4"/>
          <w:sz w:val="32"/>
          <w:szCs w:val="40"/>
        </w:rPr>
      </w:pPr>
      <w:r>
        <w:rPr>
          <w:rFonts w:ascii="仿宋" w:hAnsi="仿宋" w:cs="仿宋" w:hint="eastAsia"/>
          <w:snapToGrid w:val="0"/>
          <w:spacing w:val="-4"/>
          <w:sz w:val="32"/>
          <w:szCs w:val="40"/>
        </w:rPr>
        <w:t>2022年，</w:t>
      </w:r>
      <w:r w:rsidR="00407596">
        <w:rPr>
          <w:rFonts w:ascii="仿宋" w:hAnsi="仿宋" w:cs="仿宋" w:hint="eastAsia"/>
          <w:snapToGrid w:val="0"/>
          <w:spacing w:val="-4"/>
          <w:sz w:val="32"/>
          <w:szCs w:val="40"/>
        </w:rPr>
        <w:t>全市法院</w:t>
      </w:r>
      <w:r>
        <w:rPr>
          <w:rFonts w:ascii="仿宋" w:hAnsi="仿宋" w:cs="仿宋" w:hint="eastAsia"/>
          <w:snapToGrid w:val="0"/>
          <w:spacing w:val="-4"/>
          <w:sz w:val="32"/>
          <w:szCs w:val="40"/>
        </w:rPr>
        <w:t>坚持以习近平新时代中国特色社会主义思想为指导，深入学习贯彻党的二十大精神，不断加强劳动审判工作，在创新工作机制、探索裁判规则、深化理论研究、凝聚工作合力、扩大社会影响等方面取得</w:t>
      </w:r>
      <w:r w:rsidR="00661A4B">
        <w:rPr>
          <w:rFonts w:ascii="仿宋" w:hAnsi="仿宋" w:cs="仿宋" w:hint="eastAsia"/>
          <w:snapToGrid w:val="0"/>
          <w:spacing w:val="-4"/>
          <w:sz w:val="32"/>
          <w:szCs w:val="40"/>
        </w:rPr>
        <w:t>新进展</w:t>
      </w:r>
      <w:r>
        <w:rPr>
          <w:rFonts w:ascii="仿宋" w:hAnsi="仿宋" w:cs="仿宋" w:hint="eastAsia"/>
          <w:snapToGrid w:val="0"/>
          <w:spacing w:val="-4"/>
          <w:sz w:val="32"/>
          <w:szCs w:val="40"/>
        </w:rPr>
        <w:t>，为服务保障劳动者就业创业首选城市建设作出积极贡献。苏州劳动法庭工作两次获最高人民法院主要领导批示肯定。有1起案件入选</w:t>
      </w:r>
      <w:r w:rsidR="00643577">
        <w:rPr>
          <w:rFonts w:ascii="仿宋" w:hAnsi="仿宋" w:cs="仿宋" w:hint="eastAsia"/>
          <w:sz w:val="32"/>
          <w:szCs w:val="32"/>
        </w:rPr>
        <w:t>“</w:t>
      </w:r>
      <w:r w:rsidR="00643577">
        <w:rPr>
          <w:rFonts w:ascii="仿宋" w:hAnsi="仿宋" w:cs="仿宋"/>
          <w:sz w:val="32"/>
          <w:szCs w:val="32"/>
        </w:rPr>
        <w:t>2021年度中国社会法十大影响力事例”</w:t>
      </w:r>
      <w:r>
        <w:rPr>
          <w:rFonts w:ascii="仿宋" w:hAnsi="仿宋" w:cs="仿宋" w:hint="eastAsia"/>
          <w:snapToGrid w:val="0"/>
          <w:spacing w:val="-4"/>
          <w:sz w:val="32"/>
          <w:szCs w:val="40"/>
        </w:rPr>
        <w:t>、4起案件入选</w:t>
      </w:r>
      <w:r w:rsidR="000746B3">
        <w:rPr>
          <w:rFonts w:ascii="仿宋" w:hAnsi="仿宋" w:cs="仿宋" w:hint="eastAsia"/>
          <w:snapToGrid w:val="0"/>
          <w:spacing w:val="-4"/>
          <w:sz w:val="32"/>
          <w:szCs w:val="40"/>
        </w:rPr>
        <w:t>全省法院</w:t>
      </w:r>
      <w:r w:rsidR="000746B3" w:rsidRPr="000746B3">
        <w:rPr>
          <w:rFonts w:ascii="仿宋" w:hAnsi="仿宋" w:cs="仿宋" w:hint="eastAsia"/>
          <w:snapToGrid w:val="0"/>
          <w:spacing w:val="-4"/>
          <w:sz w:val="32"/>
          <w:szCs w:val="40"/>
        </w:rPr>
        <w:t>劳动人事争议</w:t>
      </w:r>
      <w:r w:rsidR="00E80754">
        <w:rPr>
          <w:rFonts w:ascii="仿宋" w:hAnsi="仿宋" w:cs="仿宋" w:hint="eastAsia"/>
          <w:snapToGrid w:val="0"/>
          <w:spacing w:val="-4"/>
          <w:sz w:val="32"/>
          <w:szCs w:val="40"/>
        </w:rPr>
        <w:t>、</w:t>
      </w:r>
      <w:r w:rsidR="000746B3">
        <w:rPr>
          <w:rFonts w:ascii="仿宋" w:hAnsi="仿宋" w:cs="仿宋" w:hint="eastAsia"/>
          <w:snapToGrid w:val="0"/>
          <w:spacing w:val="-4"/>
          <w:sz w:val="32"/>
          <w:szCs w:val="40"/>
        </w:rPr>
        <w:t>“根治欠薪”</w:t>
      </w:r>
      <w:r>
        <w:rPr>
          <w:rFonts w:ascii="仿宋" w:hAnsi="仿宋" w:cs="仿宋" w:hint="eastAsia"/>
          <w:snapToGrid w:val="0"/>
          <w:spacing w:val="-4"/>
          <w:sz w:val="32"/>
          <w:szCs w:val="40"/>
        </w:rPr>
        <w:t>典型案例。</w:t>
      </w:r>
    </w:p>
    <w:p w:rsidR="001C7934" w:rsidRDefault="00D70876">
      <w:pPr>
        <w:topLinePunct/>
        <w:adjustRightInd w:val="0"/>
        <w:snapToGrid w:val="0"/>
        <w:spacing w:line="600" w:lineRule="exact"/>
        <w:ind w:firstLine="636"/>
        <w:rPr>
          <w:rFonts w:cs="仿宋"/>
          <w:snapToGrid w:val="0"/>
          <w:spacing w:val="-4"/>
          <w:sz w:val="32"/>
          <w:szCs w:val="40"/>
        </w:rPr>
      </w:pPr>
      <w:r>
        <w:rPr>
          <w:rFonts w:eastAsia="黑体" w:cs="黑体" w:hint="eastAsia"/>
          <w:snapToGrid w:val="0"/>
          <w:spacing w:val="-4"/>
          <w:sz w:val="32"/>
          <w:szCs w:val="40"/>
        </w:rPr>
        <w:t>一、劳动人事争议案件审判基本情况</w:t>
      </w:r>
    </w:p>
    <w:p w:rsidR="001C7934" w:rsidRPr="007D4D2E" w:rsidRDefault="00D70876" w:rsidP="007D4D2E">
      <w:pPr>
        <w:topLinePunct/>
        <w:adjustRightInd w:val="0"/>
        <w:snapToGrid w:val="0"/>
        <w:spacing w:line="600" w:lineRule="exact"/>
        <w:ind w:firstLineChars="200" w:firstLine="624"/>
        <w:rPr>
          <w:rFonts w:eastAsia="楷体" w:cs="楷体"/>
          <w:snapToGrid w:val="0"/>
          <w:spacing w:val="-4"/>
          <w:sz w:val="32"/>
          <w:szCs w:val="40"/>
        </w:rPr>
      </w:pPr>
      <w:r>
        <w:rPr>
          <w:rFonts w:eastAsia="楷体" w:cs="楷体" w:hint="eastAsia"/>
          <w:snapToGrid w:val="0"/>
          <w:spacing w:val="-4"/>
          <w:sz w:val="32"/>
          <w:szCs w:val="40"/>
        </w:rPr>
        <w:t>1.</w:t>
      </w:r>
      <w:r>
        <w:rPr>
          <w:rFonts w:eastAsia="楷体" w:cs="楷体" w:hint="eastAsia"/>
          <w:snapToGrid w:val="0"/>
          <w:spacing w:val="-4"/>
          <w:sz w:val="32"/>
          <w:szCs w:val="40"/>
        </w:rPr>
        <w:t>案件总体情况</w:t>
      </w:r>
      <w:r w:rsidR="007D4D2E">
        <w:rPr>
          <w:rFonts w:eastAsia="楷体" w:cs="楷体" w:hint="eastAsia"/>
          <w:snapToGrid w:val="0"/>
          <w:spacing w:val="-4"/>
          <w:sz w:val="32"/>
          <w:szCs w:val="40"/>
        </w:rPr>
        <w:t>。</w:t>
      </w:r>
      <w:r>
        <w:rPr>
          <w:rFonts w:ascii="仿宋" w:hAnsi="仿宋" w:cs="仿宋"/>
          <w:snapToGrid w:val="0"/>
          <w:spacing w:val="-4"/>
          <w:sz w:val="32"/>
          <w:szCs w:val="40"/>
        </w:rPr>
        <w:t>202</w:t>
      </w:r>
      <w:r>
        <w:rPr>
          <w:rFonts w:ascii="仿宋" w:hAnsi="仿宋" w:cs="仿宋" w:hint="eastAsia"/>
          <w:snapToGrid w:val="0"/>
          <w:spacing w:val="-4"/>
          <w:sz w:val="32"/>
          <w:szCs w:val="40"/>
        </w:rPr>
        <w:t>2年，全市法院共受理劳动人事争议案件10240件，同比下降4.92</w:t>
      </w:r>
      <w:r>
        <w:rPr>
          <w:rFonts w:ascii="仿宋" w:hAnsi="仿宋" w:cs="仿宋"/>
          <w:snapToGrid w:val="0"/>
          <w:spacing w:val="-4"/>
          <w:sz w:val="32"/>
          <w:szCs w:val="40"/>
        </w:rPr>
        <w:t>%</w:t>
      </w:r>
      <w:r>
        <w:rPr>
          <w:rFonts w:ascii="仿宋" w:hAnsi="仿宋" w:cs="仿宋" w:hint="eastAsia"/>
          <w:snapToGrid w:val="0"/>
          <w:spacing w:val="-4"/>
          <w:sz w:val="32"/>
          <w:szCs w:val="40"/>
        </w:rPr>
        <w:t>，其中新收案件8665件，同比下降6.98</w:t>
      </w:r>
      <w:r>
        <w:rPr>
          <w:rFonts w:ascii="仿宋" w:hAnsi="仿宋" w:cs="仿宋"/>
          <w:snapToGrid w:val="0"/>
          <w:spacing w:val="-4"/>
          <w:sz w:val="32"/>
          <w:szCs w:val="40"/>
        </w:rPr>
        <w:t>%</w:t>
      </w:r>
      <w:r>
        <w:rPr>
          <w:rFonts w:ascii="仿宋" w:hAnsi="仿宋" w:cs="仿宋" w:hint="eastAsia"/>
          <w:snapToGrid w:val="0"/>
          <w:spacing w:val="-4"/>
          <w:sz w:val="32"/>
          <w:szCs w:val="40"/>
        </w:rPr>
        <w:t>；审结8857件，同比下降4.19</w:t>
      </w:r>
      <w:r>
        <w:rPr>
          <w:rFonts w:ascii="仿宋" w:hAnsi="仿宋" w:cs="仿宋"/>
          <w:snapToGrid w:val="0"/>
          <w:spacing w:val="-4"/>
          <w:sz w:val="32"/>
          <w:szCs w:val="40"/>
        </w:rPr>
        <w:t>%</w:t>
      </w:r>
      <w:r>
        <w:rPr>
          <w:rFonts w:ascii="仿宋" w:hAnsi="仿宋" w:cs="仿宋" w:hint="eastAsia"/>
          <w:snapToGrid w:val="0"/>
          <w:spacing w:val="-4"/>
          <w:sz w:val="32"/>
          <w:szCs w:val="40"/>
        </w:rPr>
        <w:t>（</w:t>
      </w:r>
      <w:r w:rsidR="00573CC9">
        <w:rPr>
          <w:rFonts w:ascii="仿宋" w:hAnsi="仿宋" w:cs="仿宋" w:hint="eastAsia"/>
          <w:snapToGrid w:val="0"/>
          <w:spacing w:val="-4"/>
          <w:sz w:val="32"/>
          <w:szCs w:val="40"/>
        </w:rPr>
        <w:t>见</w:t>
      </w:r>
      <w:r w:rsidR="001E077B">
        <w:rPr>
          <w:rFonts w:ascii="仿宋" w:hAnsi="仿宋" w:cs="仿宋" w:hint="eastAsia"/>
          <w:snapToGrid w:val="0"/>
          <w:spacing w:val="-4"/>
          <w:sz w:val="32"/>
          <w:szCs w:val="40"/>
        </w:rPr>
        <w:t>图</w:t>
      </w:r>
      <w:r>
        <w:rPr>
          <w:rFonts w:ascii="仿宋" w:hAnsi="仿宋" w:cs="仿宋"/>
          <w:snapToGrid w:val="0"/>
          <w:spacing w:val="-4"/>
          <w:sz w:val="32"/>
          <w:szCs w:val="40"/>
        </w:rPr>
        <w:t>1</w:t>
      </w:r>
      <w:r>
        <w:rPr>
          <w:rFonts w:ascii="仿宋" w:hAnsi="仿宋" w:cs="仿宋" w:hint="eastAsia"/>
          <w:snapToGrid w:val="0"/>
          <w:spacing w:val="-4"/>
          <w:sz w:val="32"/>
          <w:szCs w:val="40"/>
        </w:rPr>
        <w:t>）。全市基层人民法院受理案件7708</w:t>
      </w:r>
      <w:r>
        <w:rPr>
          <w:rFonts w:ascii="仿宋" w:hAnsi="仿宋" w:cs="仿宋"/>
          <w:snapToGrid w:val="0"/>
          <w:spacing w:val="-4"/>
          <w:sz w:val="32"/>
          <w:szCs w:val="40"/>
        </w:rPr>
        <w:t>件，审结</w:t>
      </w:r>
      <w:r>
        <w:rPr>
          <w:rFonts w:ascii="仿宋" w:hAnsi="仿宋" w:cs="仿宋" w:hint="eastAsia"/>
          <w:snapToGrid w:val="0"/>
          <w:spacing w:val="-4"/>
          <w:sz w:val="32"/>
          <w:szCs w:val="40"/>
        </w:rPr>
        <w:t>6525</w:t>
      </w:r>
      <w:r>
        <w:rPr>
          <w:rFonts w:ascii="仿宋" w:hAnsi="仿宋" w:cs="仿宋"/>
          <w:snapToGrid w:val="0"/>
          <w:spacing w:val="-4"/>
          <w:sz w:val="32"/>
          <w:szCs w:val="40"/>
        </w:rPr>
        <w:t>件，同比</w:t>
      </w:r>
      <w:r>
        <w:rPr>
          <w:rFonts w:ascii="仿宋" w:hAnsi="仿宋" w:cs="仿宋" w:hint="eastAsia"/>
          <w:snapToGrid w:val="0"/>
          <w:spacing w:val="-4"/>
          <w:sz w:val="32"/>
          <w:szCs w:val="40"/>
        </w:rPr>
        <w:t>分别下降5.73</w:t>
      </w:r>
      <w:r>
        <w:rPr>
          <w:rFonts w:ascii="仿宋" w:hAnsi="仿宋" w:cs="仿宋"/>
          <w:snapToGrid w:val="0"/>
          <w:spacing w:val="-4"/>
          <w:sz w:val="32"/>
          <w:szCs w:val="40"/>
        </w:rPr>
        <w:t>%</w:t>
      </w:r>
      <w:r>
        <w:rPr>
          <w:rFonts w:ascii="仿宋" w:hAnsi="仿宋" w:cs="仿宋" w:hint="eastAsia"/>
          <w:snapToGrid w:val="0"/>
          <w:spacing w:val="-4"/>
          <w:sz w:val="32"/>
          <w:szCs w:val="40"/>
        </w:rPr>
        <w:t>、6.80</w:t>
      </w:r>
      <w:r>
        <w:rPr>
          <w:rFonts w:ascii="仿宋" w:hAnsi="仿宋" w:cs="仿宋"/>
          <w:snapToGrid w:val="0"/>
          <w:spacing w:val="-4"/>
          <w:sz w:val="32"/>
          <w:szCs w:val="40"/>
        </w:rPr>
        <w:t>%</w:t>
      </w:r>
      <w:r>
        <w:rPr>
          <w:rFonts w:ascii="仿宋" w:hAnsi="仿宋" w:cs="仿宋" w:hint="eastAsia"/>
          <w:snapToGrid w:val="0"/>
          <w:spacing w:val="-4"/>
          <w:sz w:val="32"/>
          <w:szCs w:val="40"/>
        </w:rPr>
        <w:t>。市中院受理案件2532件，同比下降2.35%；审结2332件，同比增长3.97%</w:t>
      </w:r>
      <w:r w:rsidR="001E077B">
        <w:rPr>
          <w:rFonts w:ascii="仿宋" w:hAnsi="仿宋" w:cs="仿宋" w:hint="eastAsia"/>
          <w:snapToGrid w:val="0"/>
          <w:spacing w:val="-4"/>
          <w:sz w:val="32"/>
          <w:szCs w:val="40"/>
        </w:rPr>
        <w:t>（</w:t>
      </w:r>
      <w:r w:rsidR="00573CC9">
        <w:rPr>
          <w:rFonts w:ascii="仿宋" w:hAnsi="仿宋" w:cs="仿宋" w:hint="eastAsia"/>
          <w:snapToGrid w:val="0"/>
          <w:spacing w:val="-4"/>
          <w:sz w:val="32"/>
          <w:szCs w:val="40"/>
        </w:rPr>
        <w:t>见</w:t>
      </w:r>
      <w:r w:rsidR="001E077B">
        <w:rPr>
          <w:rFonts w:ascii="仿宋" w:hAnsi="仿宋" w:cs="仿宋" w:hint="eastAsia"/>
          <w:snapToGrid w:val="0"/>
          <w:spacing w:val="-4"/>
          <w:sz w:val="32"/>
          <w:szCs w:val="40"/>
        </w:rPr>
        <w:t>表1）</w:t>
      </w:r>
      <w:r>
        <w:rPr>
          <w:rFonts w:ascii="仿宋" w:hAnsi="仿宋" w:cs="仿宋" w:hint="eastAsia"/>
          <w:snapToGrid w:val="0"/>
          <w:spacing w:val="-4"/>
          <w:sz w:val="32"/>
          <w:szCs w:val="40"/>
        </w:rPr>
        <w:t>。总体而言，全市法院劳动人事审判</w:t>
      </w:r>
      <w:r w:rsidR="007A4E7C">
        <w:rPr>
          <w:rFonts w:ascii="仿宋" w:hAnsi="仿宋" w:cs="仿宋" w:hint="eastAsia"/>
          <w:snapToGrid w:val="0"/>
          <w:spacing w:val="-4"/>
          <w:sz w:val="32"/>
          <w:szCs w:val="40"/>
        </w:rPr>
        <w:t>运行</w:t>
      </w:r>
      <w:r>
        <w:rPr>
          <w:rFonts w:ascii="仿宋" w:hAnsi="仿宋" w:cs="仿宋" w:hint="eastAsia"/>
          <w:snapToGrid w:val="0"/>
          <w:spacing w:val="-4"/>
          <w:sz w:val="32"/>
          <w:szCs w:val="40"/>
        </w:rPr>
        <w:t>态势平稳，案件受理数、审结数同比小幅下降。</w:t>
      </w:r>
    </w:p>
    <w:p w:rsidR="001C7934" w:rsidRDefault="001E077B">
      <w:pPr>
        <w:topLinePunct/>
        <w:adjustRightInd w:val="0"/>
        <w:snapToGrid w:val="0"/>
        <w:spacing w:line="569" w:lineRule="exact"/>
        <w:jc w:val="center"/>
        <w:rPr>
          <w:rFonts w:ascii="楷体" w:eastAsia="楷体" w:hAnsi="楷体"/>
          <w:bCs/>
          <w:snapToGrid w:val="0"/>
          <w:spacing w:val="-4"/>
          <w:sz w:val="28"/>
          <w:szCs w:val="28"/>
        </w:rPr>
      </w:pPr>
      <w:r>
        <w:rPr>
          <w:rFonts w:ascii="楷体" w:eastAsia="楷体" w:hAnsi="楷体" w:hint="eastAsia"/>
          <w:bCs/>
          <w:snapToGrid w:val="0"/>
          <w:spacing w:val="-4"/>
          <w:sz w:val="28"/>
          <w:szCs w:val="28"/>
        </w:rPr>
        <w:t>图</w:t>
      </w:r>
      <w:r w:rsidR="00D70876">
        <w:rPr>
          <w:rFonts w:ascii="楷体" w:eastAsia="楷体" w:hAnsi="楷体"/>
          <w:bCs/>
          <w:snapToGrid w:val="0"/>
          <w:spacing w:val="-4"/>
          <w:sz w:val="28"/>
          <w:szCs w:val="28"/>
        </w:rPr>
        <w:t>1</w:t>
      </w:r>
      <w:r w:rsidR="00D70876">
        <w:rPr>
          <w:rFonts w:ascii="楷体" w:eastAsia="楷体" w:hAnsi="楷体" w:hint="eastAsia"/>
          <w:bCs/>
          <w:snapToGrid w:val="0"/>
          <w:spacing w:val="-4"/>
          <w:sz w:val="28"/>
          <w:szCs w:val="28"/>
        </w:rPr>
        <w:t>：</w:t>
      </w:r>
      <w:r w:rsidR="00D70876">
        <w:rPr>
          <w:rFonts w:ascii="楷体" w:eastAsia="楷体" w:hAnsi="楷体"/>
          <w:bCs/>
          <w:snapToGrid w:val="0"/>
          <w:spacing w:val="-4"/>
          <w:sz w:val="28"/>
          <w:szCs w:val="28"/>
        </w:rPr>
        <w:t>2022年全市法院劳动人事争议案件收结案情况</w:t>
      </w:r>
      <w:r w:rsidR="009D230C">
        <w:rPr>
          <w:rFonts w:ascii="楷体" w:eastAsia="楷体" w:hAnsi="楷体" w:hint="eastAsia"/>
          <w:bCs/>
          <w:snapToGrid w:val="0"/>
          <w:spacing w:val="-4"/>
          <w:sz w:val="28"/>
          <w:szCs w:val="28"/>
        </w:rPr>
        <w:t>（单位：件）</w:t>
      </w:r>
    </w:p>
    <w:p w:rsidR="001C7934" w:rsidRDefault="00D70876">
      <w:pPr>
        <w:adjustRightInd w:val="0"/>
        <w:snapToGrid w:val="0"/>
        <w:spacing w:line="336" w:lineRule="auto"/>
        <w:jc w:val="center"/>
        <w:rPr>
          <w:rFonts w:eastAsia="楷体_GB2312"/>
          <w:bCs/>
          <w:snapToGrid w:val="0"/>
          <w:spacing w:val="-4"/>
          <w:sz w:val="28"/>
          <w:szCs w:val="28"/>
        </w:rPr>
      </w:pPr>
      <w:r>
        <w:rPr>
          <w:noProof/>
        </w:rPr>
        <w:lastRenderedPageBreak/>
        <w:drawing>
          <wp:inline distT="0" distB="0" distL="114300" distR="114300" wp14:anchorId="43DD2C55" wp14:editId="16FA962B">
            <wp:extent cx="5270500" cy="2120900"/>
            <wp:effectExtent l="0" t="0" r="635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7934" w:rsidRDefault="00D70876">
      <w:pPr>
        <w:topLinePunct/>
        <w:adjustRightInd w:val="0"/>
        <w:snapToGrid w:val="0"/>
        <w:spacing w:line="569" w:lineRule="exact"/>
        <w:jc w:val="center"/>
        <w:rPr>
          <w:rFonts w:ascii="楷体" w:eastAsia="楷体" w:hAnsi="楷体"/>
          <w:bCs/>
          <w:snapToGrid w:val="0"/>
          <w:spacing w:val="-4"/>
          <w:sz w:val="28"/>
          <w:szCs w:val="28"/>
        </w:rPr>
      </w:pPr>
      <w:r>
        <w:rPr>
          <w:rFonts w:ascii="楷体" w:eastAsia="楷体" w:hAnsi="楷体" w:hint="eastAsia"/>
          <w:bCs/>
          <w:snapToGrid w:val="0"/>
          <w:spacing w:val="-4"/>
          <w:sz w:val="28"/>
          <w:szCs w:val="28"/>
        </w:rPr>
        <w:t>表</w:t>
      </w:r>
      <w:r w:rsidR="001E077B">
        <w:rPr>
          <w:rFonts w:ascii="楷体" w:eastAsia="楷体" w:hAnsi="楷体" w:hint="eastAsia"/>
          <w:bCs/>
          <w:snapToGrid w:val="0"/>
          <w:spacing w:val="-4"/>
          <w:sz w:val="28"/>
          <w:szCs w:val="28"/>
        </w:rPr>
        <w:t>1</w:t>
      </w:r>
      <w:r>
        <w:rPr>
          <w:rFonts w:ascii="楷体" w:eastAsia="楷体" w:hAnsi="楷体" w:hint="eastAsia"/>
          <w:bCs/>
          <w:snapToGrid w:val="0"/>
          <w:spacing w:val="-4"/>
          <w:sz w:val="28"/>
          <w:szCs w:val="28"/>
        </w:rPr>
        <w:t>：</w:t>
      </w:r>
      <w:r>
        <w:rPr>
          <w:rFonts w:ascii="楷体" w:eastAsia="楷体" w:hAnsi="楷体"/>
          <w:bCs/>
          <w:snapToGrid w:val="0"/>
          <w:spacing w:val="-4"/>
          <w:sz w:val="28"/>
          <w:szCs w:val="28"/>
        </w:rPr>
        <w:t>2022年全市法院</w:t>
      </w:r>
      <w:r w:rsidR="00896408">
        <w:rPr>
          <w:rFonts w:ascii="楷体" w:eastAsia="楷体" w:hAnsi="楷体"/>
          <w:bCs/>
          <w:snapToGrid w:val="0"/>
          <w:spacing w:val="-4"/>
          <w:sz w:val="28"/>
          <w:szCs w:val="28"/>
        </w:rPr>
        <w:t>劳动人事争议案件</w:t>
      </w:r>
      <w:r>
        <w:rPr>
          <w:rFonts w:ascii="楷体" w:eastAsia="楷体" w:hAnsi="楷体"/>
          <w:bCs/>
          <w:snapToGrid w:val="0"/>
          <w:spacing w:val="-4"/>
          <w:sz w:val="28"/>
          <w:szCs w:val="28"/>
        </w:rPr>
        <w:t>受理、审结情况</w:t>
      </w:r>
      <w:r w:rsidR="001E077B">
        <w:rPr>
          <w:rFonts w:ascii="楷体" w:eastAsia="楷体" w:hAnsi="楷体" w:hint="eastAsia"/>
          <w:bCs/>
          <w:snapToGrid w:val="0"/>
          <w:spacing w:val="-4"/>
          <w:sz w:val="28"/>
          <w:szCs w:val="28"/>
        </w:rPr>
        <w:t>（单位：件）</w:t>
      </w:r>
    </w:p>
    <w:tbl>
      <w:tblPr>
        <w:tblW w:w="8221" w:type="dxa"/>
        <w:tblInd w:w="392" w:type="dxa"/>
        <w:tblLook w:val="04A0" w:firstRow="1" w:lastRow="0" w:firstColumn="1" w:lastColumn="0" w:noHBand="0" w:noVBand="1"/>
      </w:tblPr>
      <w:tblGrid>
        <w:gridCol w:w="1536"/>
        <w:gridCol w:w="1107"/>
        <w:gridCol w:w="1107"/>
        <w:gridCol w:w="1211"/>
        <w:gridCol w:w="922"/>
        <w:gridCol w:w="1107"/>
        <w:gridCol w:w="1231"/>
      </w:tblGrid>
      <w:tr w:rsidR="001C7934">
        <w:trPr>
          <w:trHeight w:val="657"/>
        </w:trPr>
        <w:tc>
          <w:tcPr>
            <w:tcW w:w="1536" w:type="dxa"/>
            <w:vMerge w:val="restart"/>
            <w:tcBorders>
              <w:top w:val="single" w:sz="4" w:space="0" w:color="auto"/>
              <w:left w:val="single" w:sz="4" w:space="0" w:color="auto"/>
              <w:bottom w:val="single" w:sz="4" w:space="0" w:color="auto"/>
              <w:right w:val="single" w:sz="4" w:space="0" w:color="auto"/>
            </w:tcBorders>
            <w:noWrap/>
            <w:vAlign w:val="center"/>
          </w:tcPr>
          <w:p w:rsidR="001C7934" w:rsidRDefault="00D70876">
            <w:pPr>
              <w:widowControl/>
              <w:jc w:val="center"/>
              <w:rPr>
                <w:rFonts w:ascii="黑体" w:eastAsia="黑体" w:hAnsi="黑体" w:cs="黑体"/>
                <w:snapToGrid w:val="0"/>
                <w:color w:val="000000"/>
                <w:spacing w:val="-4"/>
                <w:sz w:val="22"/>
                <w:szCs w:val="22"/>
              </w:rPr>
            </w:pPr>
            <w:r>
              <w:rPr>
                <w:rFonts w:ascii="黑体" w:eastAsia="黑体" w:hAnsi="黑体" w:cs="黑体" w:hint="eastAsia"/>
                <w:snapToGrid w:val="0"/>
                <w:color w:val="000000"/>
                <w:spacing w:val="-4"/>
                <w:sz w:val="22"/>
                <w:szCs w:val="22"/>
              </w:rPr>
              <w:t>审级</w:t>
            </w:r>
          </w:p>
        </w:tc>
        <w:tc>
          <w:tcPr>
            <w:tcW w:w="3425" w:type="dxa"/>
            <w:gridSpan w:val="3"/>
            <w:tcBorders>
              <w:top w:val="single" w:sz="4" w:space="0" w:color="auto"/>
              <w:left w:val="nil"/>
              <w:bottom w:val="single" w:sz="4" w:space="0" w:color="auto"/>
              <w:right w:val="single" w:sz="4" w:space="0" w:color="000000"/>
            </w:tcBorders>
            <w:noWrap/>
            <w:vAlign w:val="center"/>
          </w:tcPr>
          <w:p w:rsidR="001C7934" w:rsidRDefault="00D70876">
            <w:pPr>
              <w:widowControl/>
              <w:jc w:val="center"/>
              <w:rPr>
                <w:rFonts w:ascii="黑体" w:eastAsia="黑体" w:hAnsi="黑体" w:cs="黑体"/>
                <w:snapToGrid w:val="0"/>
                <w:color w:val="000000"/>
                <w:spacing w:val="-4"/>
                <w:sz w:val="22"/>
                <w:szCs w:val="22"/>
              </w:rPr>
            </w:pPr>
            <w:r>
              <w:rPr>
                <w:rFonts w:ascii="黑体" w:eastAsia="黑体" w:hAnsi="黑体" w:cs="黑体" w:hint="eastAsia"/>
                <w:snapToGrid w:val="0"/>
                <w:color w:val="000000"/>
                <w:spacing w:val="-4"/>
                <w:sz w:val="22"/>
                <w:szCs w:val="22"/>
              </w:rPr>
              <w:t>受理案件情况</w:t>
            </w:r>
          </w:p>
        </w:tc>
        <w:tc>
          <w:tcPr>
            <w:tcW w:w="3260" w:type="dxa"/>
            <w:gridSpan w:val="3"/>
            <w:tcBorders>
              <w:top w:val="single" w:sz="4" w:space="0" w:color="auto"/>
              <w:left w:val="nil"/>
              <w:bottom w:val="single" w:sz="4" w:space="0" w:color="auto"/>
              <w:right w:val="single" w:sz="4" w:space="0" w:color="000000"/>
            </w:tcBorders>
            <w:noWrap/>
            <w:vAlign w:val="center"/>
          </w:tcPr>
          <w:p w:rsidR="001C7934" w:rsidRDefault="00D70876">
            <w:pPr>
              <w:widowControl/>
              <w:jc w:val="center"/>
              <w:rPr>
                <w:rFonts w:ascii="黑体" w:eastAsia="黑体" w:hAnsi="黑体" w:cs="黑体"/>
                <w:snapToGrid w:val="0"/>
                <w:color w:val="000000"/>
                <w:spacing w:val="-4"/>
                <w:sz w:val="22"/>
                <w:szCs w:val="22"/>
              </w:rPr>
            </w:pPr>
            <w:r>
              <w:rPr>
                <w:rFonts w:ascii="黑体" w:eastAsia="黑体" w:hAnsi="黑体" w:cs="黑体" w:hint="eastAsia"/>
                <w:snapToGrid w:val="0"/>
                <w:color w:val="000000"/>
                <w:spacing w:val="-4"/>
                <w:sz w:val="22"/>
                <w:szCs w:val="22"/>
              </w:rPr>
              <w:t>审结案件情况</w:t>
            </w:r>
          </w:p>
        </w:tc>
      </w:tr>
      <w:tr w:rsidR="001C7934">
        <w:trPr>
          <w:trHeight w:val="539"/>
        </w:trPr>
        <w:tc>
          <w:tcPr>
            <w:tcW w:w="1536" w:type="dxa"/>
            <w:vMerge/>
            <w:tcBorders>
              <w:top w:val="single" w:sz="4" w:space="0" w:color="auto"/>
              <w:left w:val="single" w:sz="4" w:space="0" w:color="auto"/>
              <w:bottom w:val="single" w:sz="4" w:space="0" w:color="auto"/>
              <w:right w:val="single" w:sz="4" w:space="0" w:color="auto"/>
            </w:tcBorders>
            <w:vAlign w:val="center"/>
          </w:tcPr>
          <w:p w:rsidR="001C7934" w:rsidRDefault="001C7934">
            <w:pPr>
              <w:widowControl/>
              <w:jc w:val="left"/>
              <w:rPr>
                <w:rFonts w:ascii="黑体" w:eastAsia="黑体" w:hAnsi="黑体" w:cs="黑体"/>
                <w:snapToGrid w:val="0"/>
                <w:color w:val="000000"/>
                <w:spacing w:val="-4"/>
                <w:sz w:val="22"/>
                <w:szCs w:val="22"/>
              </w:rPr>
            </w:pPr>
          </w:p>
        </w:tc>
        <w:tc>
          <w:tcPr>
            <w:tcW w:w="1107" w:type="dxa"/>
            <w:tcBorders>
              <w:top w:val="nil"/>
              <w:left w:val="nil"/>
              <w:bottom w:val="single" w:sz="4" w:space="0" w:color="auto"/>
              <w:right w:val="single" w:sz="4" w:space="0" w:color="auto"/>
            </w:tcBorders>
            <w:noWrap/>
            <w:vAlign w:val="center"/>
          </w:tcPr>
          <w:p w:rsidR="001C7934" w:rsidRDefault="00D70876">
            <w:pPr>
              <w:widowControl/>
              <w:jc w:val="center"/>
              <w:rPr>
                <w:rFonts w:eastAsia="黑体"/>
                <w:snapToGrid w:val="0"/>
                <w:color w:val="000000"/>
                <w:spacing w:val="-4"/>
                <w:sz w:val="22"/>
                <w:szCs w:val="22"/>
              </w:rPr>
            </w:pPr>
            <w:r>
              <w:rPr>
                <w:rFonts w:eastAsia="黑体"/>
                <w:snapToGrid w:val="0"/>
                <w:color w:val="000000"/>
                <w:spacing w:val="-4"/>
                <w:sz w:val="22"/>
                <w:szCs w:val="22"/>
              </w:rPr>
              <w:t>202</w:t>
            </w:r>
            <w:r>
              <w:rPr>
                <w:rFonts w:eastAsia="黑体" w:hint="eastAsia"/>
                <w:snapToGrid w:val="0"/>
                <w:color w:val="000000"/>
                <w:spacing w:val="-4"/>
                <w:sz w:val="22"/>
                <w:szCs w:val="22"/>
              </w:rPr>
              <w:t>1</w:t>
            </w:r>
            <w:r>
              <w:rPr>
                <w:rFonts w:eastAsia="黑体" w:hint="eastAsia"/>
                <w:snapToGrid w:val="0"/>
                <w:color w:val="000000"/>
                <w:spacing w:val="-4"/>
                <w:sz w:val="22"/>
                <w:szCs w:val="22"/>
              </w:rPr>
              <w:t>年</w:t>
            </w:r>
          </w:p>
        </w:tc>
        <w:tc>
          <w:tcPr>
            <w:tcW w:w="1107" w:type="dxa"/>
            <w:tcBorders>
              <w:top w:val="nil"/>
              <w:left w:val="nil"/>
              <w:bottom w:val="single" w:sz="4" w:space="0" w:color="auto"/>
              <w:right w:val="single" w:sz="4" w:space="0" w:color="auto"/>
            </w:tcBorders>
            <w:noWrap/>
            <w:vAlign w:val="center"/>
          </w:tcPr>
          <w:p w:rsidR="001C7934" w:rsidRDefault="00D70876">
            <w:pPr>
              <w:widowControl/>
              <w:jc w:val="center"/>
              <w:rPr>
                <w:rFonts w:eastAsia="黑体"/>
                <w:snapToGrid w:val="0"/>
                <w:color w:val="000000"/>
                <w:spacing w:val="-4"/>
                <w:sz w:val="22"/>
                <w:szCs w:val="22"/>
              </w:rPr>
            </w:pPr>
            <w:r>
              <w:rPr>
                <w:rFonts w:eastAsia="黑体"/>
                <w:snapToGrid w:val="0"/>
                <w:color w:val="000000"/>
                <w:spacing w:val="-4"/>
                <w:sz w:val="22"/>
                <w:szCs w:val="22"/>
              </w:rPr>
              <w:t>202</w:t>
            </w:r>
            <w:r>
              <w:rPr>
                <w:rFonts w:eastAsia="黑体" w:hint="eastAsia"/>
                <w:snapToGrid w:val="0"/>
                <w:color w:val="000000"/>
                <w:spacing w:val="-4"/>
                <w:sz w:val="22"/>
                <w:szCs w:val="22"/>
              </w:rPr>
              <w:t>2</w:t>
            </w:r>
            <w:r>
              <w:rPr>
                <w:rFonts w:eastAsia="黑体" w:hint="eastAsia"/>
                <w:snapToGrid w:val="0"/>
                <w:color w:val="000000"/>
                <w:spacing w:val="-4"/>
                <w:sz w:val="22"/>
                <w:szCs w:val="22"/>
              </w:rPr>
              <w:t>年</w:t>
            </w:r>
          </w:p>
        </w:tc>
        <w:tc>
          <w:tcPr>
            <w:tcW w:w="1211" w:type="dxa"/>
            <w:tcBorders>
              <w:top w:val="nil"/>
              <w:left w:val="nil"/>
              <w:bottom w:val="single" w:sz="4" w:space="0" w:color="auto"/>
              <w:right w:val="single" w:sz="4" w:space="0" w:color="auto"/>
            </w:tcBorders>
            <w:noWrap/>
            <w:vAlign w:val="center"/>
          </w:tcPr>
          <w:p w:rsidR="001C7934" w:rsidRDefault="00D70876">
            <w:pPr>
              <w:widowControl/>
              <w:jc w:val="center"/>
              <w:rPr>
                <w:rFonts w:eastAsia="黑体"/>
                <w:snapToGrid w:val="0"/>
                <w:color w:val="000000"/>
                <w:spacing w:val="-4"/>
                <w:sz w:val="22"/>
                <w:szCs w:val="22"/>
              </w:rPr>
            </w:pPr>
            <w:r>
              <w:rPr>
                <w:rFonts w:eastAsia="黑体" w:hint="eastAsia"/>
                <w:snapToGrid w:val="0"/>
                <w:color w:val="000000"/>
                <w:spacing w:val="-4"/>
                <w:sz w:val="22"/>
                <w:szCs w:val="22"/>
              </w:rPr>
              <w:t>同比</w:t>
            </w:r>
          </w:p>
        </w:tc>
        <w:tc>
          <w:tcPr>
            <w:tcW w:w="922" w:type="dxa"/>
            <w:tcBorders>
              <w:top w:val="nil"/>
              <w:left w:val="nil"/>
              <w:bottom w:val="single" w:sz="4" w:space="0" w:color="auto"/>
              <w:right w:val="single" w:sz="4" w:space="0" w:color="auto"/>
            </w:tcBorders>
            <w:noWrap/>
            <w:vAlign w:val="center"/>
          </w:tcPr>
          <w:p w:rsidR="001C7934" w:rsidRDefault="00D70876">
            <w:pPr>
              <w:widowControl/>
              <w:jc w:val="center"/>
              <w:rPr>
                <w:rFonts w:eastAsia="黑体"/>
                <w:snapToGrid w:val="0"/>
                <w:color w:val="000000"/>
                <w:spacing w:val="-4"/>
                <w:sz w:val="22"/>
                <w:szCs w:val="22"/>
              </w:rPr>
            </w:pPr>
            <w:r>
              <w:rPr>
                <w:rFonts w:eastAsia="黑体"/>
                <w:snapToGrid w:val="0"/>
                <w:color w:val="000000"/>
                <w:spacing w:val="-4"/>
                <w:sz w:val="22"/>
                <w:szCs w:val="22"/>
              </w:rPr>
              <w:t>202</w:t>
            </w:r>
            <w:r>
              <w:rPr>
                <w:rFonts w:eastAsia="黑体" w:hint="eastAsia"/>
                <w:snapToGrid w:val="0"/>
                <w:color w:val="000000"/>
                <w:spacing w:val="-4"/>
                <w:sz w:val="22"/>
                <w:szCs w:val="22"/>
              </w:rPr>
              <w:t>1</w:t>
            </w:r>
            <w:r>
              <w:rPr>
                <w:rFonts w:eastAsia="黑体" w:hint="eastAsia"/>
                <w:snapToGrid w:val="0"/>
                <w:color w:val="000000"/>
                <w:spacing w:val="-4"/>
                <w:sz w:val="22"/>
                <w:szCs w:val="22"/>
              </w:rPr>
              <w:t>年</w:t>
            </w:r>
          </w:p>
        </w:tc>
        <w:tc>
          <w:tcPr>
            <w:tcW w:w="1107" w:type="dxa"/>
            <w:tcBorders>
              <w:top w:val="nil"/>
              <w:left w:val="nil"/>
              <w:bottom w:val="single" w:sz="4" w:space="0" w:color="auto"/>
              <w:right w:val="single" w:sz="4" w:space="0" w:color="auto"/>
            </w:tcBorders>
            <w:noWrap/>
            <w:vAlign w:val="center"/>
          </w:tcPr>
          <w:p w:rsidR="001C7934" w:rsidRDefault="00D70876">
            <w:pPr>
              <w:widowControl/>
              <w:jc w:val="center"/>
              <w:rPr>
                <w:rFonts w:eastAsia="黑体"/>
                <w:snapToGrid w:val="0"/>
                <w:color w:val="000000"/>
                <w:spacing w:val="-4"/>
                <w:sz w:val="22"/>
                <w:szCs w:val="22"/>
              </w:rPr>
            </w:pPr>
            <w:r>
              <w:rPr>
                <w:rFonts w:eastAsia="黑体"/>
                <w:snapToGrid w:val="0"/>
                <w:color w:val="000000"/>
                <w:spacing w:val="-4"/>
                <w:sz w:val="22"/>
                <w:szCs w:val="22"/>
              </w:rPr>
              <w:t>202</w:t>
            </w:r>
            <w:r>
              <w:rPr>
                <w:rFonts w:eastAsia="黑体" w:hint="eastAsia"/>
                <w:snapToGrid w:val="0"/>
                <w:color w:val="000000"/>
                <w:spacing w:val="-4"/>
                <w:sz w:val="22"/>
                <w:szCs w:val="22"/>
              </w:rPr>
              <w:t>2</w:t>
            </w:r>
            <w:r>
              <w:rPr>
                <w:rFonts w:eastAsia="黑体" w:hint="eastAsia"/>
                <w:snapToGrid w:val="0"/>
                <w:color w:val="000000"/>
                <w:spacing w:val="-4"/>
                <w:sz w:val="22"/>
                <w:szCs w:val="22"/>
              </w:rPr>
              <w:t>年</w:t>
            </w:r>
          </w:p>
        </w:tc>
        <w:tc>
          <w:tcPr>
            <w:tcW w:w="1231" w:type="dxa"/>
            <w:tcBorders>
              <w:top w:val="nil"/>
              <w:left w:val="nil"/>
              <w:bottom w:val="single" w:sz="4" w:space="0" w:color="auto"/>
              <w:right w:val="single" w:sz="4" w:space="0" w:color="auto"/>
            </w:tcBorders>
            <w:noWrap/>
            <w:vAlign w:val="center"/>
          </w:tcPr>
          <w:p w:rsidR="001C7934" w:rsidRDefault="00D70876">
            <w:pPr>
              <w:widowControl/>
              <w:jc w:val="center"/>
              <w:rPr>
                <w:rFonts w:eastAsia="黑体"/>
                <w:snapToGrid w:val="0"/>
                <w:color w:val="000000"/>
                <w:spacing w:val="-4"/>
                <w:sz w:val="22"/>
                <w:szCs w:val="22"/>
              </w:rPr>
            </w:pPr>
            <w:r>
              <w:rPr>
                <w:rFonts w:eastAsia="黑体" w:hint="eastAsia"/>
                <w:snapToGrid w:val="0"/>
                <w:color w:val="000000"/>
                <w:spacing w:val="-4"/>
                <w:sz w:val="22"/>
                <w:szCs w:val="22"/>
              </w:rPr>
              <w:t>同比</w:t>
            </w:r>
          </w:p>
        </w:tc>
      </w:tr>
      <w:tr w:rsidR="001C7934">
        <w:trPr>
          <w:trHeight w:val="561"/>
        </w:trPr>
        <w:tc>
          <w:tcPr>
            <w:tcW w:w="1536" w:type="dxa"/>
            <w:tcBorders>
              <w:top w:val="nil"/>
              <w:left w:val="single" w:sz="4" w:space="0" w:color="auto"/>
              <w:bottom w:val="single" w:sz="4" w:space="0" w:color="auto"/>
              <w:right w:val="single" w:sz="4" w:space="0" w:color="auto"/>
            </w:tcBorders>
            <w:noWrap/>
            <w:vAlign w:val="center"/>
          </w:tcPr>
          <w:p w:rsidR="001C7934" w:rsidRDefault="00D70876">
            <w:pPr>
              <w:widowControl/>
              <w:jc w:val="center"/>
              <w:rPr>
                <w:rFonts w:ascii="黑体" w:eastAsia="黑体" w:hAnsi="黑体" w:cs="黑体"/>
                <w:snapToGrid w:val="0"/>
                <w:color w:val="000000"/>
                <w:spacing w:val="-4"/>
                <w:sz w:val="22"/>
                <w:szCs w:val="22"/>
              </w:rPr>
            </w:pPr>
            <w:r>
              <w:rPr>
                <w:rFonts w:ascii="黑体" w:eastAsia="黑体" w:hAnsi="黑体" w:cs="黑体" w:hint="eastAsia"/>
                <w:snapToGrid w:val="0"/>
                <w:color w:val="000000"/>
                <w:spacing w:val="-4"/>
                <w:sz w:val="22"/>
                <w:szCs w:val="22"/>
              </w:rPr>
              <w:t>基层法院</w:t>
            </w:r>
          </w:p>
        </w:tc>
        <w:tc>
          <w:tcPr>
            <w:tcW w:w="1107"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8177</w:t>
            </w:r>
          </w:p>
        </w:tc>
        <w:tc>
          <w:tcPr>
            <w:tcW w:w="1107"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7708</w:t>
            </w:r>
          </w:p>
        </w:tc>
        <w:tc>
          <w:tcPr>
            <w:tcW w:w="1211"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-5.73</w:t>
            </w:r>
            <w:r>
              <w:rPr>
                <w:snapToGrid w:val="0"/>
                <w:color w:val="000000"/>
                <w:spacing w:val="-4"/>
                <w:sz w:val="22"/>
                <w:szCs w:val="22"/>
              </w:rPr>
              <w:t>%</w:t>
            </w:r>
          </w:p>
        </w:tc>
        <w:tc>
          <w:tcPr>
            <w:tcW w:w="922"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7001</w:t>
            </w:r>
          </w:p>
        </w:tc>
        <w:tc>
          <w:tcPr>
            <w:tcW w:w="1107"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6525</w:t>
            </w:r>
          </w:p>
        </w:tc>
        <w:tc>
          <w:tcPr>
            <w:tcW w:w="1231"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-6.80</w:t>
            </w:r>
            <w:r>
              <w:rPr>
                <w:snapToGrid w:val="0"/>
                <w:color w:val="000000"/>
                <w:spacing w:val="-4"/>
                <w:sz w:val="22"/>
                <w:szCs w:val="22"/>
              </w:rPr>
              <w:t>%</w:t>
            </w:r>
          </w:p>
        </w:tc>
      </w:tr>
      <w:tr w:rsidR="001C7934">
        <w:trPr>
          <w:trHeight w:val="555"/>
        </w:trPr>
        <w:tc>
          <w:tcPr>
            <w:tcW w:w="1536" w:type="dxa"/>
            <w:tcBorders>
              <w:top w:val="nil"/>
              <w:left w:val="single" w:sz="4" w:space="0" w:color="auto"/>
              <w:bottom w:val="single" w:sz="4" w:space="0" w:color="auto"/>
              <w:right w:val="single" w:sz="4" w:space="0" w:color="auto"/>
            </w:tcBorders>
            <w:noWrap/>
            <w:vAlign w:val="center"/>
          </w:tcPr>
          <w:p w:rsidR="001C7934" w:rsidRDefault="00D70876">
            <w:pPr>
              <w:widowControl/>
              <w:jc w:val="center"/>
              <w:rPr>
                <w:rFonts w:ascii="黑体" w:eastAsia="黑体" w:hAnsi="黑体" w:cs="黑体"/>
                <w:snapToGrid w:val="0"/>
                <w:color w:val="000000"/>
                <w:spacing w:val="-4"/>
                <w:sz w:val="22"/>
                <w:szCs w:val="22"/>
              </w:rPr>
            </w:pPr>
            <w:r>
              <w:rPr>
                <w:rFonts w:ascii="黑体" w:eastAsia="黑体" w:hAnsi="黑体" w:cs="黑体" w:hint="eastAsia"/>
                <w:snapToGrid w:val="0"/>
                <w:color w:val="000000"/>
                <w:spacing w:val="-4"/>
                <w:sz w:val="22"/>
                <w:szCs w:val="22"/>
              </w:rPr>
              <w:t>市中院</w:t>
            </w:r>
          </w:p>
        </w:tc>
        <w:tc>
          <w:tcPr>
            <w:tcW w:w="1107"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2593</w:t>
            </w:r>
          </w:p>
        </w:tc>
        <w:tc>
          <w:tcPr>
            <w:tcW w:w="1107"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2532</w:t>
            </w:r>
          </w:p>
        </w:tc>
        <w:tc>
          <w:tcPr>
            <w:tcW w:w="1211"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-2.35</w:t>
            </w:r>
            <w:r>
              <w:rPr>
                <w:snapToGrid w:val="0"/>
                <w:color w:val="000000"/>
                <w:spacing w:val="-4"/>
                <w:sz w:val="22"/>
                <w:szCs w:val="22"/>
              </w:rPr>
              <w:t>%</w:t>
            </w:r>
          </w:p>
        </w:tc>
        <w:tc>
          <w:tcPr>
            <w:tcW w:w="922"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2243</w:t>
            </w:r>
          </w:p>
        </w:tc>
        <w:tc>
          <w:tcPr>
            <w:tcW w:w="1107"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2332</w:t>
            </w:r>
          </w:p>
        </w:tc>
        <w:tc>
          <w:tcPr>
            <w:tcW w:w="1231" w:type="dxa"/>
            <w:tcBorders>
              <w:top w:val="nil"/>
              <w:left w:val="nil"/>
              <w:bottom w:val="single" w:sz="4" w:space="0" w:color="auto"/>
              <w:right w:val="single" w:sz="4" w:space="0" w:color="auto"/>
            </w:tcBorders>
            <w:noWrap/>
            <w:vAlign w:val="center"/>
          </w:tcPr>
          <w:p w:rsidR="001C7934" w:rsidRDefault="00D70876">
            <w:pPr>
              <w:widowControl/>
              <w:jc w:val="center"/>
              <w:rPr>
                <w:snapToGrid w:val="0"/>
                <w:color w:val="000000"/>
                <w:spacing w:val="-4"/>
                <w:sz w:val="22"/>
                <w:szCs w:val="22"/>
              </w:rPr>
            </w:pPr>
            <w:r>
              <w:rPr>
                <w:rFonts w:hint="eastAsia"/>
                <w:snapToGrid w:val="0"/>
                <w:color w:val="000000"/>
                <w:spacing w:val="-4"/>
                <w:sz w:val="22"/>
                <w:szCs w:val="22"/>
              </w:rPr>
              <w:t>3.97</w:t>
            </w:r>
            <w:r>
              <w:rPr>
                <w:snapToGrid w:val="0"/>
                <w:color w:val="000000"/>
                <w:spacing w:val="-4"/>
                <w:sz w:val="22"/>
                <w:szCs w:val="22"/>
              </w:rPr>
              <w:t>%</w:t>
            </w:r>
          </w:p>
        </w:tc>
      </w:tr>
    </w:tbl>
    <w:p w:rsidR="001C7934" w:rsidRPr="007D4D2E" w:rsidRDefault="00D70876" w:rsidP="007D4D2E">
      <w:pPr>
        <w:adjustRightInd w:val="0"/>
        <w:snapToGrid w:val="0"/>
        <w:spacing w:line="600" w:lineRule="exact"/>
        <w:ind w:firstLine="635"/>
        <w:rPr>
          <w:rFonts w:eastAsia="楷体" w:cs="楷体"/>
          <w:snapToGrid w:val="0"/>
          <w:spacing w:val="-4"/>
          <w:sz w:val="32"/>
          <w:szCs w:val="40"/>
        </w:rPr>
      </w:pPr>
      <w:r>
        <w:rPr>
          <w:rFonts w:eastAsia="楷体" w:cs="楷体" w:hint="eastAsia"/>
          <w:snapToGrid w:val="0"/>
          <w:spacing w:val="-4"/>
          <w:sz w:val="32"/>
          <w:szCs w:val="40"/>
        </w:rPr>
        <w:t>2.</w:t>
      </w:r>
      <w:r>
        <w:rPr>
          <w:rFonts w:eastAsia="楷体" w:cs="楷体" w:hint="eastAsia"/>
          <w:snapToGrid w:val="0"/>
          <w:spacing w:val="-4"/>
          <w:sz w:val="32"/>
          <w:szCs w:val="40"/>
        </w:rPr>
        <w:t>一审案件类型分布情况</w:t>
      </w:r>
      <w:r w:rsidR="007D4D2E">
        <w:rPr>
          <w:rFonts w:eastAsia="楷体" w:cs="楷体" w:hint="eastAsia"/>
          <w:snapToGrid w:val="0"/>
          <w:spacing w:val="-4"/>
          <w:sz w:val="32"/>
          <w:szCs w:val="40"/>
        </w:rPr>
        <w:t>。</w:t>
      </w:r>
      <w:r>
        <w:rPr>
          <w:rFonts w:ascii="仿宋" w:hAnsi="仿宋" w:cs="仿宋"/>
          <w:snapToGrid w:val="0"/>
          <w:spacing w:val="-4"/>
          <w:sz w:val="32"/>
          <w:szCs w:val="40"/>
        </w:rPr>
        <w:t>202</w:t>
      </w:r>
      <w:r>
        <w:rPr>
          <w:rFonts w:ascii="仿宋" w:hAnsi="仿宋" w:cs="仿宋" w:hint="eastAsia"/>
          <w:snapToGrid w:val="0"/>
          <w:spacing w:val="-4"/>
          <w:sz w:val="32"/>
          <w:szCs w:val="40"/>
        </w:rPr>
        <w:t>2年，全市法院新收一审劳动人事争议案件中以“劳动合同纠纷”“劳动争议”作为案由的占65.33</w:t>
      </w:r>
      <w:r>
        <w:rPr>
          <w:rFonts w:ascii="仿宋" w:hAnsi="仿宋" w:cs="仿宋"/>
          <w:snapToGrid w:val="0"/>
          <w:spacing w:val="-4"/>
          <w:sz w:val="32"/>
          <w:szCs w:val="40"/>
        </w:rPr>
        <w:t>%</w:t>
      </w:r>
      <w:r>
        <w:rPr>
          <w:rFonts w:ascii="仿宋" w:hAnsi="仿宋" w:cs="仿宋" w:hint="eastAsia"/>
          <w:snapToGrid w:val="0"/>
          <w:spacing w:val="-4"/>
          <w:sz w:val="32"/>
          <w:szCs w:val="40"/>
        </w:rPr>
        <w:t>，同比增加</w:t>
      </w:r>
      <w:r>
        <w:rPr>
          <w:rFonts w:ascii="仿宋" w:hAnsi="仿宋" w:cs="仿宋"/>
          <w:snapToGrid w:val="0"/>
          <w:spacing w:val="-4"/>
          <w:sz w:val="32"/>
          <w:szCs w:val="40"/>
        </w:rPr>
        <w:t>4.</w:t>
      </w:r>
      <w:r>
        <w:rPr>
          <w:rFonts w:ascii="仿宋" w:hAnsi="仿宋" w:cs="仿宋" w:hint="eastAsia"/>
          <w:snapToGrid w:val="0"/>
          <w:spacing w:val="-4"/>
          <w:sz w:val="32"/>
          <w:szCs w:val="40"/>
        </w:rPr>
        <w:t>03%，诉讼请求多元化趋势增强。单一诉请案件中确认劳动关系纠纷、追索劳动报酬纠纷占比最高，分别为11.12%、10.86%。确认劳动关系纠纷和工伤保险待遇类纠纷占比有小幅上升（</w:t>
      </w:r>
      <w:r w:rsidR="00573CC9">
        <w:rPr>
          <w:rFonts w:ascii="仿宋" w:hAnsi="仿宋" w:cs="仿宋" w:hint="eastAsia"/>
          <w:snapToGrid w:val="0"/>
          <w:spacing w:val="-4"/>
          <w:sz w:val="32"/>
          <w:szCs w:val="40"/>
        </w:rPr>
        <w:t>见</w:t>
      </w:r>
      <w:r w:rsidR="009A4FAC">
        <w:rPr>
          <w:rFonts w:ascii="仿宋" w:hAnsi="仿宋" w:cs="仿宋" w:hint="eastAsia"/>
          <w:snapToGrid w:val="0"/>
          <w:spacing w:val="-4"/>
          <w:sz w:val="32"/>
          <w:szCs w:val="40"/>
        </w:rPr>
        <w:t>图2</w:t>
      </w:r>
      <w:r>
        <w:rPr>
          <w:rFonts w:ascii="仿宋" w:hAnsi="仿宋" w:cs="仿宋" w:hint="eastAsia"/>
          <w:snapToGrid w:val="0"/>
          <w:spacing w:val="-4"/>
          <w:sz w:val="32"/>
          <w:szCs w:val="40"/>
        </w:rPr>
        <w:t xml:space="preserve">）。 </w:t>
      </w:r>
    </w:p>
    <w:p w:rsidR="001C7934" w:rsidRDefault="009A4FAC">
      <w:pPr>
        <w:topLinePunct/>
        <w:adjustRightInd w:val="0"/>
        <w:snapToGrid w:val="0"/>
        <w:spacing w:line="569" w:lineRule="exact"/>
        <w:jc w:val="center"/>
        <w:rPr>
          <w:rFonts w:ascii="楷体" w:eastAsia="楷体" w:hAnsi="楷体"/>
          <w:bCs/>
          <w:snapToGrid w:val="0"/>
          <w:spacing w:val="-4"/>
          <w:sz w:val="28"/>
          <w:szCs w:val="28"/>
        </w:rPr>
      </w:pPr>
      <w:r>
        <w:rPr>
          <w:rFonts w:ascii="楷体" w:eastAsia="楷体" w:hAnsi="楷体" w:hint="eastAsia"/>
          <w:bCs/>
          <w:snapToGrid w:val="0"/>
          <w:spacing w:val="-4"/>
          <w:sz w:val="28"/>
          <w:szCs w:val="28"/>
        </w:rPr>
        <w:t>图2</w:t>
      </w:r>
      <w:r w:rsidR="00D70876">
        <w:rPr>
          <w:rFonts w:ascii="楷体" w:eastAsia="楷体" w:hAnsi="楷体" w:hint="eastAsia"/>
          <w:bCs/>
          <w:snapToGrid w:val="0"/>
          <w:spacing w:val="-4"/>
          <w:sz w:val="28"/>
          <w:szCs w:val="28"/>
        </w:rPr>
        <w:t>：</w:t>
      </w:r>
      <w:r w:rsidR="00D70876">
        <w:rPr>
          <w:rFonts w:ascii="楷体" w:eastAsia="楷体" w:hAnsi="楷体"/>
          <w:bCs/>
          <w:snapToGrid w:val="0"/>
          <w:spacing w:val="-4"/>
          <w:sz w:val="28"/>
          <w:szCs w:val="28"/>
        </w:rPr>
        <w:t>2022年全市基层</w:t>
      </w:r>
      <w:r w:rsidR="00D70876">
        <w:rPr>
          <w:rFonts w:ascii="楷体" w:eastAsia="楷体" w:hAnsi="楷体" w:hint="eastAsia"/>
          <w:bCs/>
          <w:snapToGrid w:val="0"/>
          <w:spacing w:val="-4"/>
          <w:sz w:val="28"/>
          <w:szCs w:val="28"/>
        </w:rPr>
        <w:t>人民法院新收一审案件案由分布情况</w:t>
      </w:r>
    </w:p>
    <w:p w:rsidR="001C7934" w:rsidRDefault="00D70876">
      <w:pPr>
        <w:adjustRightInd w:val="0"/>
        <w:snapToGrid w:val="0"/>
        <w:spacing w:line="300" w:lineRule="auto"/>
        <w:rPr>
          <w:rFonts w:eastAsia="楷体" w:cs="楷体"/>
          <w:snapToGrid w:val="0"/>
          <w:spacing w:val="-4"/>
          <w:sz w:val="32"/>
          <w:szCs w:val="40"/>
        </w:rPr>
      </w:pPr>
      <w:r>
        <w:rPr>
          <w:noProof/>
        </w:rPr>
        <w:lastRenderedPageBreak/>
        <w:drawing>
          <wp:inline distT="0" distB="0" distL="114300" distR="114300" wp14:anchorId="24F6FA4D" wp14:editId="31ED2B19">
            <wp:extent cx="5638800" cy="2908300"/>
            <wp:effectExtent l="0" t="0" r="0" b="6350"/>
            <wp:docPr id="1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C7934" w:rsidRPr="007D4D2E" w:rsidRDefault="009A4FAC" w:rsidP="007D4D2E">
      <w:pPr>
        <w:adjustRightInd w:val="0"/>
        <w:snapToGrid w:val="0"/>
        <w:spacing w:line="336" w:lineRule="auto"/>
        <w:ind w:firstLineChars="200" w:firstLine="624"/>
        <w:jc w:val="left"/>
        <w:rPr>
          <w:rFonts w:cs="仿宋"/>
          <w:snapToGrid w:val="0"/>
          <w:spacing w:val="-4"/>
          <w:sz w:val="32"/>
          <w:szCs w:val="40"/>
        </w:rPr>
      </w:pPr>
      <w:r>
        <w:rPr>
          <w:rFonts w:hint="eastAsia"/>
          <w:snapToGrid w:val="0"/>
          <w:spacing w:val="-4"/>
          <w:sz w:val="32"/>
          <w:szCs w:val="40"/>
        </w:rPr>
        <w:t>3</w:t>
      </w:r>
      <w:r w:rsidR="00D70876">
        <w:rPr>
          <w:rFonts w:eastAsia="楷体" w:cs="楷体" w:hint="eastAsia"/>
          <w:snapToGrid w:val="0"/>
          <w:spacing w:val="-4"/>
          <w:sz w:val="32"/>
          <w:szCs w:val="40"/>
        </w:rPr>
        <w:t>.</w:t>
      </w:r>
      <w:r w:rsidR="00D70876">
        <w:rPr>
          <w:rFonts w:eastAsia="楷体" w:cs="楷体" w:hint="eastAsia"/>
          <w:snapToGrid w:val="0"/>
          <w:spacing w:val="-4"/>
          <w:sz w:val="32"/>
          <w:szCs w:val="40"/>
        </w:rPr>
        <w:t>全市法院主要审判质效情况</w:t>
      </w:r>
      <w:r w:rsidR="007D4D2E">
        <w:rPr>
          <w:rFonts w:cs="仿宋" w:hint="eastAsia"/>
          <w:snapToGrid w:val="0"/>
          <w:spacing w:val="-4"/>
          <w:sz w:val="32"/>
          <w:szCs w:val="40"/>
        </w:rPr>
        <w:t>。</w:t>
      </w:r>
      <w:r w:rsidR="00D70876">
        <w:rPr>
          <w:rFonts w:ascii="仿宋" w:hAnsi="仿宋" w:cs="仿宋"/>
          <w:snapToGrid w:val="0"/>
          <w:spacing w:val="-4"/>
          <w:sz w:val="32"/>
          <w:szCs w:val="40"/>
        </w:rPr>
        <w:t>202</w:t>
      </w:r>
      <w:r w:rsidR="00D70876">
        <w:rPr>
          <w:rFonts w:ascii="仿宋" w:hAnsi="仿宋" w:cs="仿宋" w:hint="eastAsia"/>
          <w:snapToGrid w:val="0"/>
          <w:spacing w:val="-4"/>
          <w:sz w:val="32"/>
          <w:szCs w:val="40"/>
        </w:rPr>
        <w:t>2年，全市法院劳动人事争议案件一审服判息诉率74.55</w:t>
      </w:r>
      <w:r w:rsidR="00D70876">
        <w:rPr>
          <w:rFonts w:ascii="仿宋" w:hAnsi="仿宋" w:cs="仿宋"/>
          <w:snapToGrid w:val="0"/>
          <w:spacing w:val="-4"/>
          <w:sz w:val="32"/>
          <w:szCs w:val="40"/>
        </w:rPr>
        <w:t>%</w:t>
      </w:r>
      <w:r w:rsidR="00D70876">
        <w:rPr>
          <w:rFonts w:ascii="仿宋" w:hAnsi="仿宋" w:cs="仿宋" w:hint="eastAsia"/>
          <w:snapToGrid w:val="0"/>
          <w:spacing w:val="-4"/>
          <w:sz w:val="32"/>
          <w:szCs w:val="40"/>
        </w:rPr>
        <w:t>，同比增长3.28</w:t>
      </w:r>
      <w:r w:rsidR="00D70876">
        <w:rPr>
          <w:rFonts w:ascii="仿宋" w:hAnsi="仿宋" w:cs="仿宋"/>
          <w:snapToGrid w:val="0"/>
          <w:spacing w:val="-4"/>
          <w:sz w:val="32"/>
          <w:szCs w:val="40"/>
        </w:rPr>
        <w:t>%</w:t>
      </w:r>
      <w:r w:rsidR="00D70876">
        <w:rPr>
          <w:rFonts w:ascii="仿宋" w:hAnsi="仿宋" w:cs="仿宋" w:hint="eastAsia"/>
          <w:snapToGrid w:val="0"/>
          <w:spacing w:val="-4"/>
          <w:sz w:val="32"/>
          <w:szCs w:val="40"/>
        </w:rPr>
        <w:t>；一审调解撤诉率为46.20</w:t>
      </w:r>
      <w:r w:rsidR="00D70876">
        <w:rPr>
          <w:rFonts w:ascii="仿宋" w:hAnsi="仿宋" w:cs="仿宋"/>
          <w:snapToGrid w:val="0"/>
          <w:spacing w:val="-4"/>
          <w:sz w:val="32"/>
          <w:szCs w:val="40"/>
        </w:rPr>
        <w:t>%</w:t>
      </w:r>
      <w:r w:rsidR="00D70876">
        <w:rPr>
          <w:rFonts w:ascii="仿宋" w:hAnsi="仿宋" w:cs="仿宋" w:hint="eastAsia"/>
          <w:snapToGrid w:val="0"/>
          <w:spacing w:val="-4"/>
          <w:sz w:val="32"/>
          <w:szCs w:val="40"/>
        </w:rPr>
        <w:t>，与2021年基本持平；一审案件平均审理天数73.23天，相比</w:t>
      </w:r>
      <w:r w:rsidR="00D70876">
        <w:rPr>
          <w:rFonts w:ascii="仿宋" w:hAnsi="仿宋" w:cs="仿宋"/>
          <w:snapToGrid w:val="0"/>
          <w:spacing w:val="-4"/>
          <w:sz w:val="32"/>
          <w:szCs w:val="40"/>
        </w:rPr>
        <w:t>202</w:t>
      </w:r>
      <w:r w:rsidR="00D70876">
        <w:rPr>
          <w:rFonts w:ascii="仿宋" w:hAnsi="仿宋" w:cs="仿宋" w:hint="eastAsia"/>
          <w:snapToGrid w:val="0"/>
          <w:spacing w:val="-4"/>
          <w:sz w:val="32"/>
          <w:szCs w:val="40"/>
        </w:rPr>
        <w:t>1年减少2.42天，同比下降3.20</w:t>
      </w:r>
      <w:r w:rsidR="00D70876">
        <w:rPr>
          <w:rFonts w:ascii="仿宋" w:hAnsi="仿宋" w:cs="仿宋"/>
          <w:snapToGrid w:val="0"/>
          <w:spacing w:val="-4"/>
          <w:sz w:val="32"/>
          <w:szCs w:val="40"/>
        </w:rPr>
        <w:t>%</w:t>
      </w:r>
      <w:r w:rsidR="00D70876">
        <w:rPr>
          <w:rFonts w:ascii="仿宋" w:hAnsi="仿宋" w:cs="仿宋" w:hint="eastAsia"/>
          <w:snapToGrid w:val="0"/>
          <w:spacing w:val="-4"/>
          <w:sz w:val="32"/>
          <w:szCs w:val="40"/>
        </w:rPr>
        <w:t>。市中院劳动人事争议案件二审平均审理天数66.75天，相比2021年减少5.15天，同比下降7.16%，审判效率进一步提升。</w:t>
      </w:r>
    </w:p>
    <w:p w:rsidR="001C7934" w:rsidRDefault="00D70876">
      <w:pPr>
        <w:topLinePunct/>
        <w:adjustRightInd w:val="0"/>
        <w:snapToGrid w:val="0"/>
        <w:spacing w:line="569" w:lineRule="exact"/>
        <w:ind w:firstLineChars="200" w:firstLine="624"/>
        <w:rPr>
          <w:rFonts w:eastAsia="楷体" w:cs="楷体"/>
          <w:snapToGrid w:val="0"/>
          <w:spacing w:val="-4"/>
          <w:sz w:val="32"/>
          <w:szCs w:val="40"/>
        </w:rPr>
      </w:pPr>
      <w:r>
        <w:rPr>
          <w:rFonts w:eastAsia="黑体" w:cs="黑体" w:hint="eastAsia"/>
          <w:snapToGrid w:val="0"/>
          <w:spacing w:val="-4"/>
          <w:sz w:val="32"/>
          <w:szCs w:val="40"/>
        </w:rPr>
        <w:t>二、劳动人事争议案件主要特点</w:t>
      </w:r>
    </w:p>
    <w:p w:rsidR="001C7934" w:rsidRPr="007D4D2E" w:rsidRDefault="00D70876" w:rsidP="007D4D2E">
      <w:pPr>
        <w:topLinePunct/>
        <w:adjustRightInd w:val="0"/>
        <w:snapToGrid w:val="0"/>
        <w:spacing w:line="569" w:lineRule="exact"/>
        <w:ind w:firstLine="615"/>
        <w:rPr>
          <w:rFonts w:eastAsia="楷体" w:cs="楷体"/>
          <w:snapToGrid w:val="0"/>
          <w:spacing w:val="-4"/>
          <w:sz w:val="32"/>
          <w:szCs w:val="40"/>
        </w:rPr>
      </w:pPr>
      <w:r>
        <w:rPr>
          <w:rFonts w:eastAsia="楷体" w:cs="楷体" w:hint="eastAsia"/>
          <w:snapToGrid w:val="0"/>
          <w:spacing w:val="-4"/>
          <w:sz w:val="32"/>
          <w:szCs w:val="40"/>
        </w:rPr>
        <w:t>1.</w:t>
      </w:r>
      <w:r>
        <w:rPr>
          <w:rFonts w:eastAsia="楷体" w:cs="楷体" w:hint="eastAsia"/>
          <w:snapToGrid w:val="0"/>
          <w:spacing w:val="-4"/>
          <w:sz w:val="32"/>
          <w:szCs w:val="40"/>
        </w:rPr>
        <w:t>涉</w:t>
      </w:r>
      <w:r>
        <w:rPr>
          <w:rFonts w:ascii="楷体" w:eastAsia="楷体" w:hAnsi="楷体" w:cs="仿宋" w:hint="eastAsia"/>
          <w:snapToGrid w:val="0"/>
          <w:color w:val="000000" w:themeColor="text1"/>
          <w:spacing w:val="-4"/>
          <w:sz w:val="32"/>
          <w:szCs w:val="40"/>
        </w:rPr>
        <w:t>新就业形态纠纷争点突出</w:t>
      </w:r>
      <w:r w:rsidR="007D4D2E">
        <w:rPr>
          <w:rFonts w:eastAsia="楷体" w:cs="楷体" w:hint="eastAsia"/>
          <w:snapToGrid w:val="0"/>
          <w:spacing w:val="-4"/>
          <w:sz w:val="32"/>
          <w:szCs w:val="40"/>
        </w:rPr>
        <w:t>。</w:t>
      </w:r>
      <w:r>
        <w:rPr>
          <w:rFonts w:ascii="仿宋" w:hAnsi="仿宋" w:cs="仿宋" w:hint="eastAsia"/>
          <w:snapToGrid w:val="0"/>
          <w:spacing w:val="-4"/>
          <w:sz w:val="32"/>
          <w:szCs w:val="40"/>
        </w:rPr>
        <w:t>2022年，全市法院新收涉新就业形态案件呈现以下特征：</w:t>
      </w:r>
      <w:r>
        <w:rPr>
          <w:rFonts w:ascii="仿宋" w:hAnsi="仿宋" w:cs="仿宋" w:hint="eastAsia"/>
          <w:b/>
          <w:snapToGrid w:val="0"/>
          <w:spacing w:val="-4"/>
          <w:sz w:val="32"/>
          <w:szCs w:val="40"/>
        </w:rPr>
        <w:t>案件类型相对集中。</w:t>
      </w:r>
      <w:r>
        <w:rPr>
          <w:rFonts w:ascii="仿宋" w:hAnsi="仿宋" w:cs="仿宋" w:hint="eastAsia"/>
          <w:snapToGrid w:val="0"/>
          <w:spacing w:val="-4"/>
          <w:sz w:val="32"/>
          <w:szCs w:val="40"/>
        </w:rPr>
        <w:t>确认劳动关系纠纷、工伤保险待遇纠纷、新就业形态劳动者致第三人损害纠纷较为多发。案件纠纷多发职业集中于外卖配送、网约车司机、网络主播、快递小哥。</w:t>
      </w:r>
      <w:r>
        <w:rPr>
          <w:rFonts w:ascii="仿宋" w:hAnsi="仿宋" w:cs="仿宋" w:hint="eastAsia"/>
          <w:b/>
          <w:snapToGrid w:val="0"/>
          <w:spacing w:val="-4"/>
          <w:sz w:val="32"/>
          <w:szCs w:val="40"/>
        </w:rPr>
        <w:t>用工主体难以界定。</w:t>
      </w:r>
      <w:r>
        <w:rPr>
          <w:rFonts w:ascii="仿宋" w:hAnsi="仿宋" w:cs="仿宋" w:hint="eastAsia"/>
          <w:snapToGrid w:val="0"/>
          <w:spacing w:val="-4"/>
          <w:sz w:val="32"/>
          <w:szCs w:val="40"/>
        </w:rPr>
        <w:t>平台用工模式复杂多元，在争议发生时用工主体模糊隐蔽，传统用工模式下专属于一家用人单位的协议签订、日常考勤、工作安排、工资发放、社保缴纳等劳动用工内容，</w:t>
      </w:r>
      <w:r>
        <w:rPr>
          <w:rFonts w:ascii="仿宋" w:hAnsi="仿宋" w:cs="仿宋" w:hint="eastAsia"/>
          <w:snapToGrid w:val="0"/>
          <w:spacing w:val="-4"/>
          <w:sz w:val="32"/>
          <w:szCs w:val="40"/>
        </w:rPr>
        <w:lastRenderedPageBreak/>
        <w:t>在新就业形态劳动用工模式下呈现出人为分离态势，导致案件受理阶段难以确认适格的用工主体。</w:t>
      </w:r>
      <w:r>
        <w:rPr>
          <w:rFonts w:ascii="仿宋" w:hAnsi="仿宋" w:cs="仿宋" w:hint="eastAsia"/>
          <w:b/>
          <w:snapToGrid w:val="0"/>
          <w:spacing w:val="-4"/>
          <w:sz w:val="32"/>
          <w:szCs w:val="40"/>
        </w:rPr>
        <w:t>证据审查难度增大。</w:t>
      </w:r>
      <w:r>
        <w:rPr>
          <w:rFonts w:ascii="仿宋" w:hAnsi="仿宋" w:cs="仿宋" w:hint="eastAsia"/>
          <w:snapToGrid w:val="0"/>
          <w:spacing w:val="-4"/>
          <w:sz w:val="32"/>
          <w:szCs w:val="40"/>
        </w:rPr>
        <w:t>在新就业形态劳动用工模式下，劳动过程中产生的绝大部分信息都存储在平台，一旦发生争议，劳动者登录权限被禁，劳动者难以完成初步举证责任。此外，新就业形态是依赖于互联网及信息技术的灵活就业模式，电子合同、微信聊天工具的蓬勃发展导致从业人员或用人单位举证呈现出电子化趋势，对于电子证据的审查和认定往往关系到劳动关系能否确立，成为司法审判实践面临的新课题和新挑战。</w:t>
      </w:r>
    </w:p>
    <w:p w:rsidR="001C7934" w:rsidRPr="00192F08" w:rsidRDefault="00D70876" w:rsidP="00192F08">
      <w:pPr>
        <w:spacing w:line="560" w:lineRule="exact"/>
        <w:ind w:firstLineChars="200" w:firstLine="624"/>
        <w:rPr>
          <w:rFonts w:ascii="楷体" w:eastAsia="楷体" w:hAnsi="楷体" w:cs="仿宋"/>
          <w:snapToGrid w:val="0"/>
          <w:color w:val="000000" w:themeColor="text1"/>
          <w:spacing w:val="-4"/>
          <w:sz w:val="32"/>
          <w:szCs w:val="40"/>
        </w:rPr>
      </w:pPr>
      <w:r>
        <w:rPr>
          <w:rFonts w:ascii="楷体" w:eastAsia="楷体" w:hAnsi="楷体" w:cs="仿宋" w:hint="eastAsia"/>
          <w:snapToGrid w:val="0"/>
          <w:color w:val="000000" w:themeColor="text1"/>
          <w:spacing w:val="-4"/>
          <w:sz w:val="32"/>
          <w:szCs w:val="40"/>
        </w:rPr>
        <w:t>2.竞业限制纠纷争点复杂专业性强</w:t>
      </w:r>
      <w:r w:rsidR="00192F08">
        <w:rPr>
          <w:rFonts w:ascii="楷体" w:eastAsia="楷体" w:hAnsi="楷体" w:cs="仿宋" w:hint="eastAsia"/>
          <w:snapToGrid w:val="0"/>
          <w:color w:val="000000" w:themeColor="text1"/>
          <w:spacing w:val="-4"/>
          <w:sz w:val="32"/>
          <w:szCs w:val="40"/>
        </w:rPr>
        <w:t>。</w:t>
      </w:r>
      <w:r>
        <w:rPr>
          <w:rFonts w:ascii="仿宋" w:hAnsi="仿宋" w:cs="仿宋" w:hint="eastAsia"/>
          <w:snapToGrid w:val="0"/>
          <w:spacing w:val="-4"/>
          <w:sz w:val="32"/>
          <w:szCs w:val="40"/>
        </w:rPr>
        <w:t>2022年，市中院审结的竞业限制案件平均审理天数比同期劳动人事争议案件</w:t>
      </w:r>
      <w:r w:rsidR="004966E4">
        <w:rPr>
          <w:rFonts w:ascii="仿宋" w:hAnsi="仿宋" w:cs="仿宋" w:hint="eastAsia"/>
          <w:snapToGrid w:val="0"/>
          <w:spacing w:val="-4"/>
          <w:sz w:val="32"/>
          <w:szCs w:val="40"/>
        </w:rPr>
        <w:t>多</w:t>
      </w:r>
      <w:r>
        <w:rPr>
          <w:rFonts w:ascii="仿宋" w:hAnsi="仿宋" w:cs="仿宋" w:hint="eastAsia"/>
          <w:snapToGrid w:val="0"/>
          <w:spacing w:val="-4"/>
          <w:sz w:val="32"/>
          <w:szCs w:val="40"/>
        </w:rPr>
        <w:t>出14.58天。劳</w:t>
      </w:r>
      <w:r>
        <w:rPr>
          <w:rFonts w:ascii="仿宋" w:hAnsi="仿宋" w:cs="仿宋"/>
          <w:snapToGrid w:val="0"/>
          <w:spacing w:val="-4"/>
          <w:sz w:val="32"/>
          <w:szCs w:val="40"/>
        </w:rPr>
        <w:t>动者提起上诉</w:t>
      </w:r>
      <w:r>
        <w:rPr>
          <w:rFonts w:ascii="仿宋" w:hAnsi="仿宋" w:cs="仿宋" w:hint="eastAsia"/>
          <w:snapToGrid w:val="0"/>
          <w:spacing w:val="-4"/>
          <w:sz w:val="32"/>
          <w:szCs w:val="40"/>
        </w:rPr>
        <w:t>的竞业限制案件</w:t>
      </w:r>
      <w:r>
        <w:rPr>
          <w:rFonts w:ascii="仿宋" w:hAnsi="仿宋" w:cs="仿宋"/>
          <w:snapToGrid w:val="0"/>
          <w:spacing w:val="-4"/>
          <w:sz w:val="32"/>
          <w:szCs w:val="40"/>
        </w:rPr>
        <w:t>比例明显高于一般劳动</w:t>
      </w:r>
      <w:r>
        <w:rPr>
          <w:rFonts w:ascii="仿宋" w:hAnsi="仿宋" w:cs="仿宋" w:hint="eastAsia"/>
          <w:snapToGrid w:val="0"/>
          <w:spacing w:val="-4"/>
          <w:sz w:val="32"/>
          <w:szCs w:val="40"/>
        </w:rPr>
        <w:t>人事</w:t>
      </w:r>
      <w:r>
        <w:rPr>
          <w:rFonts w:ascii="仿宋" w:hAnsi="仿宋" w:cs="仿宋"/>
          <w:snapToGrid w:val="0"/>
          <w:spacing w:val="-4"/>
          <w:sz w:val="32"/>
          <w:szCs w:val="40"/>
        </w:rPr>
        <w:t>争议案件</w:t>
      </w:r>
      <w:r>
        <w:rPr>
          <w:rFonts w:ascii="仿宋" w:hAnsi="仿宋" w:cs="仿宋" w:hint="eastAsia"/>
          <w:snapToGrid w:val="0"/>
          <w:spacing w:val="-4"/>
          <w:sz w:val="32"/>
          <w:szCs w:val="40"/>
        </w:rPr>
        <w:t>。其中，近六成案件为劳动者单方上诉，劳动者和用人单位均提起上诉案件占比超过两成</w:t>
      </w:r>
      <w:r>
        <w:rPr>
          <w:rFonts w:ascii="仿宋" w:hAnsi="仿宋" w:cs="仿宋"/>
          <w:snapToGrid w:val="0"/>
          <w:spacing w:val="-4"/>
          <w:sz w:val="32"/>
          <w:szCs w:val="40"/>
        </w:rPr>
        <w:t>。</w:t>
      </w:r>
      <w:r>
        <w:rPr>
          <w:rFonts w:ascii="仿宋" w:hAnsi="仿宋" w:cs="仿宋" w:hint="eastAsia"/>
          <w:snapToGrid w:val="0"/>
          <w:spacing w:val="-4"/>
          <w:sz w:val="32"/>
          <w:szCs w:val="40"/>
        </w:rPr>
        <w:t>该类案件呈现如下特点：</w:t>
      </w:r>
      <w:r>
        <w:rPr>
          <w:rFonts w:ascii="仿宋" w:hAnsi="仿宋" w:cs="仿宋" w:hint="eastAsia"/>
          <w:b/>
          <w:snapToGrid w:val="0"/>
          <w:spacing w:val="-4"/>
          <w:sz w:val="32"/>
          <w:szCs w:val="40"/>
        </w:rPr>
        <w:t>竞业限制协议签订“泛化”。</w:t>
      </w:r>
      <w:r>
        <w:rPr>
          <w:rFonts w:ascii="仿宋" w:hAnsi="仿宋" w:cs="仿宋" w:hint="eastAsia"/>
          <w:snapToGrid w:val="0"/>
          <w:spacing w:val="-4"/>
          <w:sz w:val="32"/>
          <w:szCs w:val="40"/>
        </w:rPr>
        <w:t>竞业限制制度设计目的在于防范离职员工实际利用原用人单位商业秘密而不正当地损害其竞争优势，是否属于竞业限制主体范畴，特别是涉及是否属于“其他负有保密义务的人员”，需以劳动者知悉原用人单位商业秘密为前提。部分用人单位不区分员工具体从事何种岗位以及是否接触商业秘密，一律要求签订协议。</w:t>
      </w:r>
      <w:r>
        <w:rPr>
          <w:rFonts w:ascii="仿宋" w:hAnsi="仿宋" w:cs="仿宋" w:hint="eastAsia"/>
          <w:b/>
          <w:snapToGrid w:val="0"/>
          <w:spacing w:val="-4"/>
          <w:sz w:val="32"/>
          <w:szCs w:val="40"/>
        </w:rPr>
        <w:t>竞业行为举证困难。</w:t>
      </w:r>
      <w:r>
        <w:rPr>
          <w:rFonts w:ascii="仿宋" w:hAnsi="仿宋" w:cs="仿宋" w:hint="eastAsia"/>
          <w:snapToGrid w:val="0"/>
          <w:spacing w:val="-4"/>
          <w:sz w:val="32"/>
          <w:szCs w:val="40"/>
        </w:rPr>
        <w:t>一些劳动者在离职后通过与第三方签订劳动合同，由第三方公司代缴社保、发放工资，甚至使用化名等方式，以达到为竞业公司提供劳动的目的，这种安排较为隐蔽，公司举证较难；另有劳动者通过配偶或亲朋好友代持股份的方式进行“自营”，从而</w:t>
      </w:r>
      <w:r>
        <w:rPr>
          <w:rFonts w:ascii="仿宋" w:hAnsi="仿宋" w:cs="仿宋" w:hint="eastAsia"/>
          <w:snapToGrid w:val="0"/>
          <w:spacing w:val="-4"/>
          <w:sz w:val="32"/>
          <w:szCs w:val="40"/>
        </w:rPr>
        <w:lastRenderedPageBreak/>
        <w:t>规避竞业限制约定等情形。</w:t>
      </w:r>
      <w:r>
        <w:rPr>
          <w:rFonts w:ascii="仿宋" w:hAnsi="仿宋" w:cs="仿宋" w:hint="eastAsia"/>
          <w:b/>
          <w:snapToGrid w:val="0"/>
          <w:spacing w:val="-4"/>
          <w:sz w:val="32"/>
          <w:szCs w:val="40"/>
        </w:rPr>
        <w:t>竞业限制违约金的认定难度增大。</w:t>
      </w:r>
      <w:r>
        <w:rPr>
          <w:rFonts w:ascii="仿宋" w:hAnsi="仿宋" w:cs="仿宋" w:hint="eastAsia"/>
          <w:snapToGrid w:val="0"/>
          <w:spacing w:val="-4"/>
          <w:sz w:val="32"/>
          <w:szCs w:val="40"/>
        </w:rPr>
        <w:t>竞业限制违约金是此类案件中争议最大的问题。因用人单位往往无法就因劳动者违反竞业限制义务对其造成的具体损失进行举证，且目前司法审判实践中尚未统一竞业限制违约金的认定标准，导致个案认定难度增大。</w:t>
      </w:r>
    </w:p>
    <w:p w:rsidR="001C7934" w:rsidRPr="00192F08" w:rsidRDefault="00D70876" w:rsidP="00192F08">
      <w:pPr>
        <w:widowControl/>
        <w:autoSpaceDE w:val="0"/>
        <w:autoSpaceDN w:val="0"/>
        <w:adjustRightInd w:val="0"/>
        <w:spacing w:line="560" w:lineRule="exact"/>
        <w:ind w:firstLineChars="200" w:firstLine="624"/>
        <w:rPr>
          <w:rFonts w:ascii="楷体" w:eastAsia="楷体" w:hAnsi="楷体" w:cs="仿宋"/>
          <w:snapToGrid w:val="0"/>
          <w:color w:val="000000" w:themeColor="text1"/>
          <w:spacing w:val="-4"/>
          <w:sz w:val="32"/>
          <w:szCs w:val="40"/>
        </w:rPr>
      </w:pPr>
      <w:r>
        <w:rPr>
          <w:rFonts w:ascii="楷体" w:eastAsia="楷体" w:hAnsi="楷体" w:cs="仿宋" w:hint="eastAsia"/>
          <w:snapToGrid w:val="0"/>
          <w:color w:val="000000" w:themeColor="text1"/>
          <w:spacing w:val="-4"/>
          <w:sz w:val="32"/>
          <w:szCs w:val="40"/>
        </w:rPr>
        <w:t>3.涉超龄劳动者权益纠纷占比增大</w:t>
      </w:r>
      <w:r w:rsidR="00192F08">
        <w:rPr>
          <w:rFonts w:ascii="楷体" w:eastAsia="楷体" w:hAnsi="楷体" w:cs="仿宋" w:hint="eastAsia"/>
          <w:snapToGrid w:val="0"/>
          <w:color w:val="000000" w:themeColor="text1"/>
          <w:spacing w:val="-4"/>
          <w:sz w:val="32"/>
          <w:szCs w:val="40"/>
        </w:rPr>
        <w:t>。</w:t>
      </w:r>
      <w:r>
        <w:rPr>
          <w:rFonts w:ascii="仿宋" w:hAnsi="仿宋" w:cs="仿宋" w:hint="eastAsia"/>
          <w:snapToGrid w:val="0"/>
          <w:spacing w:val="-4"/>
          <w:sz w:val="32"/>
          <w:szCs w:val="40"/>
        </w:rPr>
        <w:t>劳动者在达到法定退休年龄后继续工作的情况较为常见，与企业产生争议的情况时有发生。2022年，全市基层人民法院受理超龄劳动人事争议228件。此类案件呈现以下特点：</w:t>
      </w:r>
      <w:r>
        <w:rPr>
          <w:rFonts w:ascii="仿宋" w:hAnsi="仿宋" w:cs="仿宋" w:hint="eastAsia"/>
          <w:b/>
          <w:snapToGrid w:val="0"/>
          <w:spacing w:val="-4"/>
          <w:sz w:val="32"/>
          <w:szCs w:val="40"/>
        </w:rPr>
        <w:t>涉及行业相对集中。</w:t>
      </w:r>
      <w:r>
        <w:rPr>
          <w:rFonts w:ascii="仿宋" w:hAnsi="仿宋" w:cs="仿宋" w:hint="eastAsia"/>
          <w:snapToGrid w:val="0"/>
          <w:spacing w:val="-4"/>
          <w:sz w:val="32"/>
          <w:szCs w:val="40"/>
        </w:rPr>
        <w:t>纠纷多发生于</w:t>
      </w:r>
      <w:r>
        <w:rPr>
          <w:rFonts w:ascii="仿宋" w:hAnsi="仿宋" w:cs="仿宋"/>
          <w:snapToGrid w:val="0"/>
          <w:spacing w:val="-4"/>
          <w:sz w:val="32"/>
          <w:szCs w:val="40"/>
        </w:rPr>
        <w:t>依赖劳动力供给</w:t>
      </w:r>
      <w:r>
        <w:rPr>
          <w:rFonts w:ascii="仿宋" w:hAnsi="仿宋" w:cs="仿宋" w:hint="eastAsia"/>
          <w:snapToGrid w:val="0"/>
          <w:spacing w:val="-4"/>
          <w:sz w:val="32"/>
          <w:szCs w:val="40"/>
        </w:rPr>
        <w:t>且</w:t>
      </w:r>
      <w:r>
        <w:rPr>
          <w:rFonts w:ascii="仿宋" w:hAnsi="仿宋" w:cs="仿宋"/>
          <w:snapToGrid w:val="0"/>
          <w:spacing w:val="-4"/>
          <w:sz w:val="32"/>
          <w:szCs w:val="40"/>
        </w:rPr>
        <w:t>对劳动者文化水平、年龄要求不高</w:t>
      </w:r>
      <w:r>
        <w:rPr>
          <w:rFonts w:ascii="仿宋" w:hAnsi="仿宋" w:cs="仿宋" w:hint="eastAsia"/>
          <w:snapToGrid w:val="0"/>
          <w:spacing w:val="-4"/>
          <w:sz w:val="32"/>
          <w:szCs w:val="40"/>
        </w:rPr>
        <w:t>的制造业、建筑业及餐饮业等</w:t>
      </w:r>
      <w:r>
        <w:rPr>
          <w:rFonts w:ascii="仿宋" w:hAnsi="仿宋" w:cs="仿宋"/>
          <w:snapToGrid w:val="0"/>
          <w:spacing w:val="-4"/>
          <w:sz w:val="32"/>
          <w:szCs w:val="40"/>
        </w:rPr>
        <w:t>。</w:t>
      </w:r>
      <w:r>
        <w:rPr>
          <w:rFonts w:ascii="仿宋" w:hAnsi="仿宋" w:cs="仿宋" w:hint="eastAsia"/>
          <w:snapToGrid w:val="0"/>
          <w:spacing w:val="-4"/>
          <w:sz w:val="32"/>
          <w:szCs w:val="40"/>
        </w:rPr>
        <w:t>当事人诉求集中于确认劳动关系、劳动报酬、工伤保险待遇及经济补偿等方面。</w:t>
      </w:r>
      <w:r>
        <w:rPr>
          <w:rFonts w:ascii="仿宋" w:hAnsi="仿宋" w:cs="仿宋" w:hint="eastAsia"/>
          <w:b/>
          <w:snapToGrid w:val="0"/>
          <w:spacing w:val="-4"/>
          <w:sz w:val="32"/>
          <w:szCs w:val="40"/>
        </w:rPr>
        <w:t>法律关系定性不明确。</w:t>
      </w:r>
      <w:r>
        <w:rPr>
          <w:rFonts w:ascii="仿宋" w:hAnsi="仿宋" w:cs="仿宋" w:hint="eastAsia"/>
          <w:snapToGrid w:val="0"/>
          <w:spacing w:val="-4"/>
          <w:sz w:val="32"/>
          <w:szCs w:val="40"/>
        </w:rPr>
        <w:t>由于现行立法对超过法定退休年龄人员与企业之间的法律关系定性尚未明确，案涉当事人对超过法定退休年龄人员能否归入劳动者范畴争议较大。</w:t>
      </w:r>
      <w:r>
        <w:rPr>
          <w:rFonts w:ascii="仿宋" w:hAnsi="仿宋" w:cs="仿宋" w:hint="eastAsia"/>
          <w:b/>
          <w:snapToGrid w:val="0"/>
          <w:spacing w:val="-4"/>
          <w:sz w:val="32"/>
          <w:szCs w:val="40"/>
        </w:rPr>
        <w:t>超龄女性劳动者是否界定“管理岗位”的依据不足。</w:t>
      </w:r>
      <w:r>
        <w:rPr>
          <w:rFonts w:ascii="仿宋" w:hAnsi="仿宋" w:cs="仿宋" w:hint="eastAsia"/>
          <w:snapToGrid w:val="0"/>
          <w:spacing w:val="-4"/>
          <w:sz w:val="32"/>
          <w:szCs w:val="40"/>
        </w:rPr>
        <w:t>女职员“退休年龄”为50周岁还是55周岁，关键在于其此前是否从事“管理岗位”。目前审判实践对“管理岗位”概念以及管理岗位与非管理岗位如何分类界定，均无明确法律法规遵循，导致类似案件审理难度加大。</w:t>
      </w:r>
    </w:p>
    <w:p w:rsidR="001C7934" w:rsidRDefault="00D70876">
      <w:pPr>
        <w:widowControl/>
        <w:autoSpaceDE w:val="0"/>
        <w:autoSpaceDN w:val="0"/>
        <w:adjustRightInd w:val="0"/>
        <w:spacing w:line="560" w:lineRule="exact"/>
        <w:ind w:firstLineChars="200" w:firstLine="624"/>
        <w:rPr>
          <w:rFonts w:ascii="仿宋" w:hAnsi="仿宋" w:cs="Helvetica Neue"/>
          <w:color w:val="1A1A1A"/>
          <w:kern w:val="0"/>
          <w:sz w:val="32"/>
          <w:szCs w:val="32"/>
        </w:rPr>
      </w:pPr>
      <w:r>
        <w:rPr>
          <w:rFonts w:ascii="黑体" w:eastAsia="黑体" w:hAnsi="黑体" w:cs="黑体" w:hint="eastAsia"/>
          <w:snapToGrid w:val="0"/>
          <w:spacing w:val="-4"/>
          <w:sz w:val="32"/>
          <w:szCs w:val="40"/>
        </w:rPr>
        <w:t>三、劳动审判主要工作举措</w:t>
      </w:r>
    </w:p>
    <w:p w:rsidR="001C7934" w:rsidRPr="00706575" w:rsidRDefault="00573CC9" w:rsidP="00706575">
      <w:pPr>
        <w:adjustRightInd w:val="0"/>
        <w:snapToGrid w:val="0"/>
        <w:spacing w:line="560" w:lineRule="exact"/>
        <w:ind w:firstLineChars="200" w:firstLine="640"/>
        <w:rPr>
          <w:rFonts w:ascii="楷体" w:eastAsia="楷体" w:hAnsi="楷体" w:cs="仿宋"/>
          <w:color w:val="2F2F2F"/>
          <w:kern w:val="0"/>
          <w:sz w:val="32"/>
          <w:szCs w:val="32"/>
        </w:rPr>
      </w:pPr>
      <w:r>
        <w:rPr>
          <w:rFonts w:ascii="楷体" w:eastAsia="楷体" w:hAnsi="楷体" w:cs="仿宋" w:hint="eastAsia"/>
          <w:color w:val="2F2F2F"/>
          <w:kern w:val="0"/>
          <w:sz w:val="32"/>
          <w:szCs w:val="32"/>
        </w:rPr>
        <w:t>1.</w:t>
      </w:r>
      <w:r w:rsidR="00D70876">
        <w:rPr>
          <w:rFonts w:ascii="楷体" w:eastAsia="楷体" w:hAnsi="楷体" w:cs="仿宋" w:hint="eastAsia"/>
          <w:color w:val="2F2F2F"/>
          <w:kern w:val="0"/>
          <w:sz w:val="32"/>
          <w:szCs w:val="32"/>
        </w:rPr>
        <w:t>深化改革创新，健全完善专业审判机制</w:t>
      </w:r>
      <w:r w:rsidR="00706575">
        <w:rPr>
          <w:rFonts w:ascii="楷体" w:eastAsia="楷体" w:hAnsi="楷体" w:cs="仿宋" w:hint="eastAsia"/>
          <w:color w:val="2F2F2F"/>
          <w:kern w:val="0"/>
          <w:sz w:val="32"/>
          <w:szCs w:val="32"/>
        </w:rPr>
        <w:t>。</w:t>
      </w:r>
      <w:r w:rsidR="00D70876">
        <w:rPr>
          <w:rFonts w:ascii="仿宋" w:hAnsi="仿宋" w:cs="楷体" w:hint="eastAsia"/>
          <w:sz w:val="32"/>
          <w:szCs w:val="32"/>
        </w:rPr>
        <w:t>完善劳动人事争议专业化审判机制，</w:t>
      </w:r>
      <w:r w:rsidR="00D70876">
        <w:rPr>
          <w:rFonts w:ascii="仿宋" w:hAnsi="仿宋" w:cs="仿宋" w:hint="eastAsia"/>
          <w:sz w:val="32"/>
          <w:szCs w:val="32"/>
        </w:rPr>
        <w:t>实现劳动人事争议案件归口审理，在10家基层人民法院分别遴选2-4名专职审判人员办理一审案件，</w:t>
      </w:r>
      <w:r w:rsidR="005B28B9">
        <w:rPr>
          <w:rFonts w:ascii="仿宋" w:hAnsi="仿宋" w:cs="仿宋" w:hint="eastAsia"/>
          <w:sz w:val="32"/>
          <w:szCs w:val="32"/>
        </w:rPr>
        <w:t>全市法</w:t>
      </w:r>
      <w:r w:rsidR="005B28B9">
        <w:rPr>
          <w:rFonts w:ascii="仿宋" w:hAnsi="仿宋" w:cs="仿宋" w:hint="eastAsia"/>
          <w:sz w:val="32"/>
          <w:szCs w:val="32"/>
        </w:rPr>
        <w:lastRenderedPageBreak/>
        <w:t>院</w:t>
      </w:r>
      <w:r w:rsidR="00D70876">
        <w:rPr>
          <w:rFonts w:ascii="仿宋" w:hAnsi="仿宋" w:cs="仿宋" w:hint="eastAsia"/>
          <w:sz w:val="32"/>
          <w:szCs w:val="32"/>
        </w:rPr>
        <w:t>形成30人规模的专审队伍。</w:t>
      </w:r>
      <w:r w:rsidR="00D70876">
        <w:rPr>
          <w:rFonts w:ascii="仿宋" w:hAnsi="仿宋" w:cs="楷体" w:hint="eastAsia"/>
          <w:sz w:val="32"/>
          <w:szCs w:val="32"/>
        </w:rPr>
        <w:t>健全新业态用工案件归口审理机制，</w:t>
      </w:r>
      <w:r w:rsidR="00D70876">
        <w:rPr>
          <w:rFonts w:ascii="仿宋" w:hAnsi="仿宋" w:cs="仿宋" w:hint="eastAsia"/>
          <w:sz w:val="32"/>
          <w:szCs w:val="32"/>
        </w:rPr>
        <w:t>实现涉新业态案件电子化标识，便于开展审判监督管理。依法规制“假合作、真雇佣”等规避用工主体责任行为，在1起劳动关系确认案中，依法对通过将外卖骑手注册为个体工商户，规避企业用工主体责任的行为说“不”。该案入选“</w:t>
      </w:r>
      <w:r w:rsidR="00D70876">
        <w:rPr>
          <w:rFonts w:ascii="仿宋" w:hAnsi="仿宋" w:cs="仿宋"/>
          <w:sz w:val="32"/>
          <w:szCs w:val="32"/>
        </w:rPr>
        <w:t>2021年度中国社会法十大影响力事例”，在2022年</w:t>
      </w:r>
      <w:r w:rsidR="00D70876">
        <w:rPr>
          <w:rFonts w:ascii="仿宋" w:hAnsi="仿宋" w:cs="仿宋" w:hint="eastAsia"/>
          <w:sz w:val="32"/>
          <w:szCs w:val="32"/>
        </w:rPr>
        <w:t>全国“两会”期间成为灵活就业领域劳动者权益保障热议话题，受到代表委员的充分肯定。</w:t>
      </w:r>
      <w:r w:rsidR="00D70876">
        <w:rPr>
          <w:rFonts w:ascii="仿宋" w:hAnsi="仿宋" w:cs="楷体" w:hint="eastAsia"/>
          <w:sz w:val="32"/>
          <w:szCs w:val="32"/>
        </w:rPr>
        <w:t>深化刑事、民事、行政“三审合一”机制改革，充分发挥刑事、民事、行政审判协同职能，</w:t>
      </w:r>
      <w:r w:rsidR="00D70876">
        <w:rPr>
          <w:rFonts w:ascii="仿宋" w:hAnsi="仿宋" w:cs="仿宋" w:hint="eastAsia"/>
          <w:sz w:val="32"/>
          <w:szCs w:val="32"/>
        </w:rPr>
        <w:t>协调人社、公安、检察等部门完善劳动保障监察行政执法与刑事司法衔接机制，统一拒不支付劳动报酬罪追诉标准与程序。组织开展全市法院劳动人事审判示范项目创建活动，邀请专家对项目创建进行专门辅导，形成劳动人事审判机制创新“一院一品牌”。</w:t>
      </w:r>
    </w:p>
    <w:p w:rsidR="001C7934" w:rsidRPr="00706575" w:rsidRDefault="00D70876" w:rsidP="00706575">
      <w:pPr>
        <w:adjustRightInd w:val="0"/>
        <w:snapToGrid w:val="0"/>
        <w:spacing w:line="560" w:lineRule="exact"/>
        <w:ind w:firstLineChars="200" w:firstLine="640"/>
        <w:rPr>
          <w:rFonts w:ascii="楷体" w:eastAsia="楷体" w:hAnsi="楷体" w:cs="仿宋"/>
          <w:color w:val="2F2F2F"/>
          <w:kern w:val="0"/>
          <w:sz w:val="32"/>
          <w:szCs w:val="32"/>
        </w:rPr>
      </w:pPr>
      <w:r>
        <w:rPr>
          <w:rFonts w:ascii="楷体" w:eastAsia="楷体" w:hAnsi="楷体" w:cs="仿宋"/>
          <w:color w:val="2F2F2F"/>
          <w:kern w:val="0"/>
          <w:sz w:val="32"/>
          <w:szCs w:val="32"/>
        </w:rPr>
        <w:t>2.</w:t>
      </w:r>
      <w:r>
        <w:rPr>
          <w:rFonts w:ascii="楷体" w:eastAsia="楷体" w:hAnsi="楷体" w:cs="仿宋" w:hint="eastAsia"/>
          <w:color w:val="2F2F2F"/>
          <w:kern w:val="0"/>
          <w:sz w:val="32"/>
          <w:szCs w:val="32"/>
        </w:rPr>
        <w:t>凝聚各方合力，</w:t>
      </w:r>
      <w:r>
        <w:rPr>
          <w:rFonts w:ascii="楷体" w:eastAsia="楷体" w:hAnsi="楷体" w:cs="仿宋"/>
          <w:color w:val="2F2F2F"/>
          <w:kern w:val="0"/>
          <w:sz w:val="32"/>
          <w:szCs w:val="32"/>
        </w:rPr>
        <w:t>推进劳动人事争议</w:t>
      </w:r>
      <w:r>
        <w:rPr>
          <w:rFonts w:ascii="楷体" w:eastAsia="楷体" w:hAnsi="楷体" w:cs="仿宋" w:hint="eastAsia"/>
          <w:color w:val="2F2F2F"/>
          <w:kern w:val="0"/>
          <w:sz w:val="32"/>
          <w:szCs w:val="32"/>
        </w:rPr>
        <w:t>诉源治理</w:t>
      </w:r>
      <w:r w:rsidR="00706575">
        <w:rPr>
          <w:rFonts w:ascii="楷体" w:eastAsia="楷体" w:hAnsi="楷体" w:cs="仿宋" w:hint="eastAsia"/>
          <w:color w:val="2F2F2F"/>
          <w:kern w:val="0"/>
          <w:sz w:val="32"/>
          <w:szCs w:val="32"/>
        </w:rPr>
        <w:t>。</w:t>
      </w:r>
      <w:r>
        <w:rPr>
          <w:rFonts w:ascii="仿宋" w:hAnsi="仿宋" w:cs="仿宋" w:hint="eastAsia"/>
          <w:sz w:val="32"/>
          <w:szCs w:val="32"/>
        </w:rPr>
        <w:t>深化与市委政法委、市人社局、市总工会等单位共同建立的劳动人事争议“六方联动”化解机制，不断提升平台矛盾预警、纠纷预防、案件调解、信息共享与业务会商实效。</w:t>
      </w:r>
      <w:r>
        <w:rPr>
          <w:rFonts w:ascii="仿宋" w:hAnsi="仿宋" w:cs="楷体" w:hint="eastAsia"/>
          <w:sz w:val="32"/>
          <w:szCs w:val="32"/>
        </w:rPr>
        <w:t>完善“裁审衔接”工作机制，</w:t>
      </w:r>
      <w:r>
        <w:rPr>
          <w:rFonts w:ascii="仿宋" w:hAnsi="仿宋" w:cs="仿宋" w:hint="eastAsia"/>
          <w:sz w:val="32"/>
          <w:szCs w:val="32"/>
        </w:rPr>
        <w:t>与市仲裁院联合召开裁审衔接业务研讨会</w:t>
      </w:r>
      <w:r>
        <w:rPr>
          <w:rFonts w:ascii="仿宋" w:hAnsi="仿宋" w:cs="仿宋"/>
          <w:sz w:val="32"/>
          <w:szCs w:val="32"/>
        </w:rPr>
        <w:t>10余次</w:t>
      </w:r>
      <w:r>
        <w:rPr>
          <w:rFonts w:ascii="仿宋" w:hAnsi="仿宋" w:cs="仿宋" w:hint="eastAsia"/>
          <w:sz w:val="32"/>
          <w:szCs w:val="32"/>
        </w:rPr>
        <w:t>，邀请仲裁员、工会干部等旁听庭审、列席专业法官会议和参加“苏劳课堂”月度业务培训</w:t>
      </w:r>
      <w:r>
        <w:rPr>
          <w:rFonts w:ascii="仿宋" w:hAnsi="仿宋" w:cs="仿宋"/>
          <w:sz w:val="32"/>
          <w:szCs w:val="32"/>
        </w:rPr>
        <w:t>596人次。</w:t>
      </w:r>
      <w:r w:rsidR="0003348D">
        <w:rPr>
          <w:rFonts w:ascii="仿宋" w:hAnsi="仿宋" w:cs="仿宋" w:hint="eastAsia"/>
          <w:sz w:val="32"/>
          <w:szCs w:val="32"/>
        </w:rPr>
        <w:t>建立</w:t>
      </w:r>
      <w:r>
        <w:rPr>
          <w:rFonts w:ascii="仿宋" w:hAnsi="仿宋" w:cs="仿宋" w:hint="eastAsia"/>
          <w:sz w:val="32"/>
          <w:szCs w:val="32"/>
        </w:rPr>
        <w:t>“裁审衔接”办案系统，实现仲裁机构代收、移送诉讼材料“一键办理”，方便劳动者在线申请财产保全、裁后起诉及申请执行等。市中院聘任劳动人事争议特邀调解组织</w:t>
      </w:r>
      <w:r>
        <w:rPr>
          <w:rFonts w:ascii="仿宋" w:hAnsi="仿宋" w:cs="仿宋" w:hint="eastAsia"/>
          <w:sz w:val="32"/>
          <w:szCs w:val="32"/>
        </w:rPr>
        <w:lastRenderedPageBreak/>
        <w:t>派驻市劳动人事争议联合调处中心。张家港市人民法院联合该市人社局创建“调裁审执”劳动保障维权一体化中心，建立集劳动监察投诉举报、联合调解、仲裁立案、诉讼立案、执行立案等功能为一体的综合服务平台。苏州工业园区人民法院聘请</w:t>
      </w:r>
      <w:r>
        <w:rPr>
          <w:rFonts w:ascii="仿宋" w:hAnsi="仿宋" w:cs="仿宋"/>
          <w:sz w:val="32"/>
          <w:szCs w:val="32"/>
        </w:rPr>
        <w:t>9名专业律师担任特邀调解员</w:t>
      </w:r>
      <w:r>
        <w:rPr>
          <w:rFonts w:ascii="仿宋" w:hAnsi="仿宋" w:cs="仿宋" w:hint="eastAsia"/>
          <w:sz w:val="32"/>
          <w:szCs w:val="32"/>
        </w:rPr>
        <w:t>，打造苏州首支劳动人事争议专业化特邀调解队伍并成立劳动人事争议专业调解工作室。</w:t>
      </w:r>
    </w:p>
    <w:p w:rsidR="001C7934" w:rsidRPr="00706575" w:rsidRDefault="00573CC9" w:rsidP="00706575">
      <w:pPr>
        <w:adjustRightInd w:val="0"/>
        <w:snapToGrid w:val="0"/>
        <w:spacing w:line="560" w:lineRule="exact"/>
        <w:ind w:firstLineChars="200" w:firstLine="640"/>
        <w:rPr>
          <w:rFonts w:ascii="楷体" w:eastAsia="楷体" w:hAnsi="楷体" w:cs="仿宋"/>
          <w:color w:val="2F2F2F"/>
          <w:kern w:val="0"/>
          <w:sz w:val="32"/>
          <w:szCs w:val="32"/>
        </w:rPr>
      </w:pPr>
      <w:r>
        <w:rPr>
          <w:rFonts w:ascii="楷体" w:eastAsia="楷体" w:hAnsi="楷体" w:cs="仿宋" w:hint="eastAsia"/>
          <w:color w:val="2F2F2F"/>
          <w:kern w:val="0"/>
          <w:sz w:val="32"/>
          <w:szCs w:val="32"/>
        </w:rPr>
        <w:t>3.</w:t>
      </w:r>
      <w:r w:rsidR="00D70876">
        <w:rPr>
          <w:rFonts w:ascii="楷体" w:eastAsia="楷体" w:hAnsi="楷体" w:cs="仿宋" w:hint="eastAsia"/>
          <w:color w:val="2F2F2F"/>
          <w:kern w:val="0"/>
          <w:sz w:val="32"/>
          <w:szCs w:val="32"/>
        </w:rPr>
        <w:t>坚持快审快执，加强劳动者合法权益保护</w:t>
      </w:r>
      <w:r w:rsidR="00706575">
        <w:rPr>
          <w:rFonts w:ascii="楷体" w:eastAsia="楷体" w:hAnsi="楷体" w:cs="仿宋" w:hint="eastAsia"/>
          <w:color w:val="2F2F2F"/>
          <w:kern w:val="0"/>
          <w:sz w:val="32"/>
          <w:szCs w:val="32"/>
        </w:rPr>
        <w:t>。</w:t>
      </w:r>
      <w:r w:rsidR="00D70876">
        <w:rPr>
          <w:rFonts w:ascii="仿宋" w:hAnsi="仿宋" w:cs="仿宋" w:hint="eastAsia"/>
          <w:sz w:val="32"/>
          <w:szCs w:val="32"/>
        </w:rPr>
        <w:t>市中院出台《关于建立劳动争议案件立案、审判、执行工作协调配合机制的实施意见（试行）》，在全市法院开辟案件快立、快审、快执“绿色通道”，切实</w:t>
      </w:r>
      <w:r w:rsidR="00FF126F">
        <w:rPr>
          <w:rFonts w:ascii="仿宋" w:hAnsi="仿宋" w:cs="仿宋" w:hint="eastAsia"/>
          <w:sz w:val="32"/>
          <w:szCs w:val="32"/>
        </w:rPr>
        <w:t>维护</w:t>
      </w:r>
      <w:r w:rsidR="00D70876">
        <w:rPr>
          <w:rFonts w:ascii="仿宋" w:hAnsi="仿宋" w:cs="仿宋" w:hint="eastAsia"/>
          <w:sz w:val="32"/>
          <w:szCs w:val="32"/>
        </w:rPr>
        <w:t>劳动者</w:t>
      </w:r>
      <w:r w:rsidR="00FF126F">
        <w:rPr>
          <w:rFonts w:ascii="仿宋" w:hAnsi="仿宋" w:cs="仿宋" w:hint="eastAsia"/>
          <w:sz w:val="32"/>
          <w:szCs w:val="32"/>
        </w:rPr>
        <w:t>合法权益</w:t>
      </w:r>
      <w:r w:rsidR="00D70876">
        <w:rPr>
          <w:rFonts w:ascii="仿宋" w:hAnsi="仿宋" w:cs="仿宋" w:hint="eastAsia"/>
          <w:sz w:val="32"/>
          <w:szCs w:val="32"/>
        </w:rPr>
        <w:t>。吴中区人民法院强化劳动争议审、执衔接贯通，首发附带“执行通知前置内容”的民事调解书，督促用人单位及时履行相关义务。</w:t>
      </w:r>
      <w:r w:rsidR="00D70876">
        <w:rPr>
          <w:rFonts w:ascii="仿宋" w:hAnsi="仿宋" w:cs="楷体" w:hint="eastAsia"/>
          <w:sz w:val="32"/>
          <w:szCs w:val="32"/>
        </w:rPr>
        <w:t>扎实开展“根治欠薪”专项行动，联动推进劳动争议全程调处、快速审理、实质化解，</w:t>
      </w:r>
      <w:r w:rsidR="00D70876">
        <w:rPr>
          <w:rFonts w:ascii="仿宋" w:hAnsi="仿宋" w:cs="仿宋"/>
          <w:sz w:val="32"/>
          <w:szCs w:val="32"/>
        </w:rPr>
        <w:t>2022年全市法院审结欠薪案件</w:t>
      </w:r>
      <w:r w:rsidR="00484FC5">
        <w:rPr>
          <w:rFonts w:ascii="仿宋" w:hAnsi="仿宋" w:cs="仿宋" w:hint="eastAsia"/>
          <w:sz w:val="32"/>
          <w:szCs w:val="32"/>
        </w:rPr>
        <w:t>5959</w:t>
      </w:r>
      <w:r w:rsidR="00D70876">
        <w:rPr>
          <w:rFonts w:ascii="仿宋" w:hAnsi="仿宋" w:cs="仿宋"/>
          <w:sz w:val="32"/>
          <w:szCs w:val="32"/>
        </w:rPr>
        <w:t>件，</w:t>
      </w:r>
      <w:r w:rsidR="00D70876">
        <w:rPr>
          <w:rFonts w:ascii="仿宋" w:hAnsi="仿宋" w:cs="仿宋" w:hint="eastAsia"/>
          <w:sz w:val="32"/>
          <w:szCs w:val="32"/>
        </w:rPr>
        <w:t>追回各类工人工资2.5亿元。</w:t>
      </w:r>
      <w:r w:rsidR="00D70876">
        <w:rPr>
          <w:rFonts w:ascii="仿宋" w:hAnsi="仿宋" w:cs="仿宋"/>
          <w:sz w:val="32"/>
          <w:szCs w:val="32"/>
        </w:rPr>
        <w:t>2</w:t>
      </w:r>
      <w:r w:rsidR="00D70876">
        <w:rPr>
          <w:rFonts w:ascii="仿宋" w:hAnsi="仿宋" w:cs="仿宋" w:hint="eastAsia"/>
          <w:sz w:val="32"/>
          <w:szCs w:val="32"/>
        </w:rPr>
        <w:t>起案件入选省法院发布的“根治欠薪”典型案例，相关工作受到苏州市根治欠薪领导小组充分肯定。太仓市人民法院联合仲裁机构提前介入涉某酒店110名员工群体性纠纷，积极促成劳动者与酒店就工资支付相关事宜达成协议，十五日内即执行到位并向劳动者发放工资共计560万余元。</w:t>
      </w:r>
    </w:p>
    <w:p w:rsidR="001C7934" w:rsidRPr="00706575" w:rsidRDefault="00573CC9" w:rsidP="00706575">
      <w:pPr>
        <w:adjustRightInd w:val="0"/>
        <w:snapToGrid w:val="0"/>
        <w:spacing w:line="560" w:lineRule="exact"/>
        <w:ind w:firstLineChars="200" w:firstLine="640"/>
        <w:rPr>
          <w:rFonts w:ascii="楷体" w:eastAsia="楷体" w:hAnsi="楷体" w:cs="仿宋"/>
          <w:color w:val="2F2F2F"/>
          <w:kern w:val="0"/>
          <w:sz w:val="32"/>
          <w:szCs w:val="32"/>
        </w:rPr>
      </w:pPr>
      <w:r>
        <w:rPr>
          <w:rFonts w:ascii="楷体" w:eastAsia="楷体" w:hAnsi="楷体" w:cs="仿宋" w:hint="eastAsia"/>
          <w:color w:val="2F2F2F"/>
          <w:kern w:val="0"/>
          <w:sz w:val="32"/>
          <w:szCs w:val="32"/>
        </w:rPr>
        <w:t>4.</w:t>
      </w:r>
      <w:r w:rsidR="00D70876">
        <w:rPr>
          <w:rFonts w:ascii="楷体" w:eastAsia="楷体" w:hAnsi="楷体" w:cs="仿宋" w:hint="eastAsia"/>
          <w:color w:val="2F2F2F"/>
          <w:kern w:val="0"/>
          <w:sz w:val="32"/>
          <w:szCs w:val="32"/>
        </w:rPr>
        <w:t>助企纾困解难，优化法治化营商环境</w:t>
      </w:r>
      <w:r w:rsidR="00706575">
        <w:rPr>
          <w:rFonts w:ascii="楷体" w:eastAsia="楷体" w:hAnsi="楷体" w:cs="仿宋" w:hint="eastAsia"/>
          <w:color w:val="2F2F2F"/>
          <w:kern w:val="0"/>
          <w:sz w:val="32"/>
          <w:szCs w:val="32"/>
        </w:rPr>
        <w:t>。</w:t>
      </w:r>
      <w:r w:rsidR="00D70876">
        <w:rPr>
          <w:rFonts w:ascii="仿宋" w:hAnsi="仿宋" w:cs="楷体" w:hint="eastAsia"/>
          <w:sz w:val="32"/>
          <w:szCs w:val="32"/>
        </w:rPr>
        <w:t>牢固树立“双保护”司法理念，在支持劳动者合理诉求的同时，依法支持企业正当履行建章立制、调职调岗、解聘解雇等管理职能，维护企业正常生</w:t>
      </w:r>
      <w:r w:rsidR="00D70876">
        <w:rPr>
          <w:rFonts w:ascii="仿宋" w:hAnsi="仿宋" w:cs="楷体" w:hint="eastAsia"/>
          <w:sz w:val="32"/>
          <w:szCs w:val="32"/>
        </w:rPr>
        <w:lastRenderedPageBreak/>
        <w:t>产经营秩序与正当发展利益。</w:t>
      </w:r>
      <w:r w:rsidR="00D70876">
        <w:rPr>
          <w:rFonts w:ascii="仿宋" w:hAnsi="仿宋" w:cs="仿宋" w:hint="eastAsia"/>
          <w:sz w:val="32"/>
          <w:szCs w:val="32"/>
        </w:rPr>
        <w:t>苏州法院“‘双保护’司法理念巧解新业态劳动纠纷”工作经验获《光明日报》专题报道。扎实开展企业用工合规指引工作，市中院与市人社、市总工会联合出台《关于常态化开展企业劳动用工合规指引工作实施方案》，</w:t>
      </w:r>
      <w:r w:rsidR="007E5DA9">
        <w:rPr>
          <w:rFonts w:ascii="仿宋" w:hAnsi="仿宋" w:cs="仿宋" w:hint="eastAsia"/>
          <w:sz w:val="32"/>
          <w:szCs w:val="32"/>
        </w:rPr>
        <w:t>全市</w:t>
      </w:r>
      <w:r w:rsidR="00D70876">
        <w:rPr>
          <w:rFonts w:ascii="仿宋" w:hAnsi="仿宋" w:cs="仿宋" w:hint="eastAsia"/>
          <w:sz w:val="32"/>
          <w:szCs w:val="32"/>
        </w:rPr>
        <w:t>两级法院常态化开展企业劳动用工合规指引服务，惠及企业</w:t>
      </w:r>
      <w:r w:rsidR="00D70876">
        <w:rPr>
          <w:rFonts w:ascii="仿宋" w:hAnsi="仿宋" w:cs="仿宋"/>
          <w:sz w:val="32"/>
          <w:szCs w:val="32"/>
        </w:rPr>
        <w:t>1245家，其中“点对点”走访企业201家。</w:t>
      </w:r>
      <w:r w:rsidR="00D70876">
        <w:rPr>
          <w:rFonts w:ascii="仿宋" w:hAnsi="仿宋" w:cs="仿宋" w:hint="eastAsia"/>
          <w:sz w:val="32"/>
          <w:szCs w:val="32"/>
        </w:rPr>
        <w:t>设立全国首个“劳企双保护”党建联盟，在昆山、虎丘、相城等法院设立企业用工合规指引工作站。苏州法院以党建引领助力稳企复产工作获《人民日报》报道。苏州工业园区人民法院首发中英双语劳动用工手册，目前已为当地1.8万余名外籍人士、120余家“世界500强”企业及5200余家中外资企业提供涉外劳动用工法律服务，相关项目入选苏州工业园区企业服务中心重点惠企服务措施项目。妥善处理竞业限制纠纷案件，有效平衡商业秘密保护与人才自由流动之间的关系，</w:t>
      </w:r>
      <w:r w:rsidR="00BF0A36">
        <w:rPr>
          <w:rFonts w:ascii="仿宋" w:hAnsi="仿宋" w:cs="仿宋" w:hint="eastAsia"/>
          <w:sz w:val="32"/>
          <w:szCs w:val="32"/>
        </w:rPr>
        <w:t>促进</w:t>
      </w:r>
      <w:r w:rsidR="00D70876">
        <w:rPr>
          <w:rFonts w:ascii="仿宋" w:hAnsi="仿宋" w:cs="仿宋" w:hint="eastAsia"/>
          <w:sz w:val="32"/>
          <w:szCs w:val="32"/>
        </w:rPr>
        <w:t>市场主体创新发展。依法规制“劳动碰瓷”行为，不断增强对劳动人事争议虚假诉讼及“劳动碰瓷”案件的敏感性与识别应对能力，规制劳动领域不诚信行为，推动构建规范有序的用工环境和诉讼秩序。</w:t>
      </w:r>
    </w:p>
    <w:p w:rsidR="001C7934" w:rsidRPr="00706575" w:rsidRDefault="00573CC9" w:rsidP="00706575">
      <w:pPr>
        <w:adjustRightInd w:val="0"/>
        <w:snapToGrid w:val="0"/>
        <w:spacing w:line="560" w:lineRule="exact"/>
        <w:ind w:firstLineChars="200" w:firstLine="640"/>
        <w:rPr>
          <w:rFonts w:ascii="楷体" w:eastAsia="楷体" w:hAnsi="楷体" w:cs="仿宋"/>
          <w:color w:val="2F2F2F"/>
          <w:kern w:val="0"/>
          <w:sz w:val="32"/>
          <w:szCs w:val="32"/>
        </w:rPr>
      </w:pPr>
      <w:r>
        <w:rPr>
          <w:rFonts w:ascii="仿宋" w:hAnsi="仿宋" w:cs="楷体" w:hint="eastAsia"/>
          <w:sz w:val="32"/>
          <w:szCs w:val="32"/>
        </w:rPr>
        <w:t>5.</w:t>
      </w:r>
      <w:r w:rsidR="00D70876">
        <w:rPr>
          <w:rFonts w:ascii="楷体" w:eastAsia="楷体" w:hAnsi="楷体" w:cs="仿宋" w:hint="eastAsia"/>
          <w:color w:val="2F2F2F"/>
          <w:kern w:val="0"/>
          <w:sz w:val="32"/>
          <w:szCs w:val="32"/>
        </w:rPr>
        <w:t>深化理论研究，加强审判规则探索</w:t>
      </w:r>
      <w:r w:rsidR="00706575">
        <w:rPr>
          <w:rFonts w:ascii="楷体" w:eastAsia="楷体" w:hAnsi="楷体" w:cs="仿宋" w:hint="eastAsia"/>
          <w:color w:val="2F2F2F"/>
          <w:kern w:val="0"/>
          <w:sz w:val="32"/>
          <w:szCs w:val="32"/>
        </w:rPr>
        <w:t>。</w:t>
      </w:r>
      <w:r w:rsidR="00D70876">
        <w:rPr>
          <w:rFonts w:ascii="仿宋" w:hAnsi="仿宋" w:cs="仿宋" w:hint="eastAsia"/>
          <w:sz w:val="32"/>
          <w:szCs w:val="32"/>
        </w:rPr>
        <w:t>切实加强对涉新业态用工法律适用问题的研究，市中院与南京师范大学共同举办“新形势下互联网平台用工关系法律性质问题”专题学术研讨会，应邀参加人力资源部国际合作司举办的劳动争议处理制度国际研讨，参加全国两会在线论坛“如何给灵活就业者提供制度支持”</w:t>
      </w:r>
      <w:r w:rsidR="00BF0A36">
        <w:rPr>
          <w:rFonts w:ascii="仿宋" w:hAnsi="仿宋" w:cs="仿宋" w:hint="eastAsia"/>
          <w:sz w:val="32"/>
          <w:szCs w:val="32"/>
        </w:rPr>
        <w:t>和</w:t>
      </w:r>
      <w:r w:rsidR="00D70876">
        <w:rPr>
          <w:rFonts w:ascii="仿宋" w:hAnsi="仿宋" w:cs="仿宋" w:hint="eastAsia"/>
          <w:sz w:val="32"/>
          <w:szCs w:val="32"/>
        </w:rPr>
        <w:t>中</w:t>
      </w:r>
      <w:r w:rsidR="00D70876">
        <w:rPr>
          <w:rFonts w:ascii="仿宋" w:hAnsi="仿宋" w:cs="仿宋" w:hint="eastAsia"/>
          <w:sz w:val="32"/>
          <w:szCs w:val="32"/>
        </w:rPr>
        <w:lastRenderedPageBreak/>
        <w:t>国政法大学主办</w:t>
      </w:r>
      <w:r w:rsidR="00BF0A36">
        <w:rPr>
          <w:rFonts w:ascii="仿宋" w:hAnsi="仿宋" w:cs="仿宋" w:hint="eastAsia"/>
          <w:sz w:val="32"/>
          <w:szCs w:val="32"/>
        </w:rPr>
        <w:t>的</w:t>
      </w:r>
      <w:r w:rsidR="00D70876">
        <w:rPr>
          <w:rFonts w:ascii="仿宋" w:hAnsi="仿宋" w:cs="仿宋" w:hint="eastAsia"/>
          <w:sz w:val="32"/>
          <w:szCs w:val="32"/>
        </w:rPr>
        <w:t>“数字时代新业态用工法律问题”研讨、“新经济业态下MCN机构与网络红人法律关系”研讨等，参与《关于审理涉及新就业形态民事纠纷案件适用法律若干问题的规定》《关于审理劳动争议案件适用法律问题的解释(二)》起草研究论证，为完善裁判规则提供高质量的意见建议。健全完善</w:t>
      </w:r>
      <w:r w:rsidR="00D70876">
        <w:rPr>
          <w:rFonts w:ascii="仿宋" w:hAnsi="仿宋" w:cs="楷体" w:hint="eastAsia"/>
          <w:sz w:val="32"/>
          <w:szCs w:val="32"/>
        </w:rPr>
        <w:t>群体性劳动纠纷示范调判机制，</w:t>
      </w:r>
      <w:r w:rsidR="00D70876">
        <w:rPr>
          <w:rFonts w:ascii="仿宋" w:hAnsi="仿宋" w:cs="仿宋" w:hint="eastAsia"/>
          <w:sz w:val="32"/>
          <w:szCs w:val="32"/>
        </w:rPr>
        <w:t>加强对群体性纠纷案件的协同处理与业务指导，形成“个案调判、类推适用、快审快结”的工作机制。</w:t>
      </w:r>
    </w:p>
    <w:p w:rsidR="001C7934" w:rsidRPr="00706575" w:rsidRDefault="00573CC9" w:rsidP="00706575">
      <w:pPr>
        <w:pStyle w:val="a7"/>
        <w:adjustRightInd w:val="0"/>
        <w:snapToGrid w:val="0"/>
        <w:spacing w:before="0" w:beforeAutospacing="0" w:after="0" w:afterAutospacing="0" w:line="560" w:lineRule="exact"/>
        <w:ind w:firstLineChars="200" w:firstLine="640"/>
        <w:jc w:val="both"/>
        <w:rPr>
          <w:rFonts w:ascii="楷体" w:eastAsia="楷体" w:hAnsi="楷体" w:cs="仿宋"/>
          <w:color w:val="2F2F2F"/>
          <w:sz w:val="32"/>
          <w:szCs w:val="32"/>
        </w:rPr>
      </w:pPr>
      <w:r>
        <w:rPr>
          <w:rFonts w:ascii="楷体" w:eastAsia="楷体" w:hAnsi="楷体" w:cs="仿宋" w:hint="eastAsia"/>
          <w:color w:val="2F2F2F"/>
          <w:sz w:val="32"/>
          <w:szCs w:val="32"/>
        </w:rPr>
        <w:t>6.</w:t>
      </w:r>
      <w:r w:rsidR="00D70876">
        <w:rPr>
          <w:rFonts w:ascii="楷体" w:eastAsia="楷体" w:hAnsi="楷体" w:cs="仿宋" w:hint="eastAsia"/>
          <w:color w:val="2F2F2F"/>
          <w:sz w:val="32"/>
          <w:szCs w:val="32"/>
        </w:rPr>
        <w:t>提升能力素养，锻造素质过硬劳动审判队伍</w:t>
      </w:r>
      <w:r w:rsidR="00706575">
        <w:rPr>
          <w:rFonts w:ascii="楷体" w:eastAsia="楷体" w:hAnsi="楷体" w:cs="仿宋" w:hint="eastAsia"/>
          <w:color w:val="2F2F2F"/>
          <w:sz w:val="32"/>
          <w:szCs w:val="32"/>
        </w:rPr>
        <w:t>。</w:t>
      </w:r>
      <w:r w:rsidR="00D70876">
        <w:rPr>
          <w:rFonts w:ascii="仿宋" w:eastAsia="仿宋" w:hAnsi="仿宋" w:cs="仿宋" w:hint="eastAsia"/>
          <w:kern w:val="2"/>
          <w:sz w:val="32"/>
          <w:szCs w:val="32"/>
        </w:rPr>
        <w:t>着力打造“苏劳课堂”品牌，定期邀请专家学者、知名法官进行业务培训，组织开展劳动争议“周案例”“季研讨”学术交流活动，</w:t>
      </w:r>
      <w:r w:rsidR="00D70876">
        <w:rPr>
          <w:rFonts w:ascii="仿宋" w:eastAsia="仿宋" w:hAnsi="仿宋" w:cs="仿宋" w:hint="eastAsia"/>
          <w:sz w:val="32"/>
          <w:szCs w:val="32"/>
        </w:rPr>
        <w:t>为法官把握劳动审判前沿问题，增强疑难复杂新型案件裁判能力提供智力支持。</w:t>
      </w:r>
      <w:r w:rsidR="00D70876">
        <w:rPr>
          <w:rFonts w:ascii="仿宋" w:eastAsia="仿宋" w:hAnsi="仿宋" w:cs="仿宋" w:hint="eastAsia"/>
          <w:kern w:val="2"/>
          <w:sz w:val="32"/>
          <w:szCs w:val="32"/>
        </w:rPr>
        <w:t>组建全市法院劳动人事审判专业研究会，培养善于研究、精于审判的高素质骨干审判队伍，提升专业化审判水平。</w:t>
      </w:r>
      <w:r w:rsidR="00D70876">
        <w:rPr>
          <w:rFonts w:ascii="仿宋" w:eastAsia="仿宋" w:hAnsi="仿宋" w:cs="仿宋"/>
          <w:kern w:val="2"/>
          <w:sz w:val="32"/>
          <w:szCs w:val="32"/>
        </w:rPr>
        <w:t>2022年，市中院涉新业态劳动关系调研课题报告获评市法学会法学研究优秀课题；全市法院2项涉新业态研究成果获评省法学会民法学研究会年会优秀论文二等奖</w:t>
      </w:r>
      <w:r w:rsidR="00966CE0">
        <w:rPr>
          <w:rFonts w:ascii="仿宋" w:eastAsia="仿宋" w:hAnsi="仿宋" w:cs="仿宋" w:hint="eastAsia"/>
          <w:kern w:val="2"/>
          <w:sz w:val="32"/>
          <w:szCs w:val="32"/>
        </w:rPr>
        <w:t>、</w:t>
      </w:r>
      <w:r w:rsidR="00966CE0" w:rsidRPr="00966CE0">
        <w:rPr>
          <w:rFonts w:ascii="仿宋" w:eastAsia="仿宋" w:hAnsi="仿宋" w:cs="仿宋" w:hint="eastAsia"/>
          <w:kern w:val="2"/>
          <w:sz w:val="32"/>
          <w:szCs w:val="32"/>
        </w:rPr>
        <w:t>市“数字经济的法治保障”主题</w:t>
      </w:r>
      <w:r w:rsidR="00DB3DA6">
        <w:rPr>
          <w:rFonts w:ascii="仿宋" w:eastAsia="仿宋" w:hAnsi="仿宋" w:cs="仿宋" w:hint="eastAsia"/>
          <w:kern w:val="2"/>
          <w:sz w:val="32"/>
          <w:szCs w:val="32"/>
        </w:rPr>
        <w:t>征文</w:t>
      </w:r>
      <w:r w:rsidR="00966CE0" w:rsidRPr="00966CE0">
        <w:rPr>
          <w:rFonts w:ascii="仿宋" w:eastAsia="仿宋" w:hAnsi="仿宋" w:cs="仿宋" w:hint="eastAsia"/>
          <w:kern w:val="2"/>
          <w:sz w:val="32"/>
          <w:szCs w:val="32"/>
        </w:rPr>
        <w:t>比赛一等奖</w:t>
      </w:r>
      <w:r w:rsidR="00D70876">
        <w:rPr>
          <w:rFonts w:ascii="仿宋" w:eastAsia="仿宋" w:hAnsi="仿宋" w:cs="仿宋"/>
          <w:kern w:val="2"/>
          <w:sz w:val="32"/>
          <w:szCs w:val="32"/>
        </w:rPr>
        <w:t>。</w:t>
      </w:r>
      <w:r w:rsidR="00D70876">
        <w:rPr>
          <w:rFonts w:ascii="仿宋" w:eastAsia="仿宋" w:hAnsi="仿宋" w:cs="仿宋" w:hint="eastAsia"/>
          <w:kern w:val="2"/>
          <w:sz w:val="32"/>
          <w:szCs w:val="32"/>
        </w:rPr>
        <w:t>苏州劳动法庭获评2022年度“苏州市工人先锋号”，“以创立全国首家劳动法庭为引领，打造和谐稳定劳动关系最美窗口”项目入选苏州市党史学习教育“我为群众办实事”重点项目。</w:t>
      </w:r>
    </w:p>
    <w:p w:rsidR="001C7934" w:rsidRDefault="00D70876">
      <w:pPr>
        <w:topLinePunct/>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四、下一步工作重点</w:t>
      </w:r>
    </w:p>
    <w:p w:rsidR="001C7934" w:rsidRPr="00706575" w:rsidRDefault="00573CC9" w:rsidP="00706575">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1.</w:t>
      </w:r>
      <w:r w:rsidR="00D70876">
        <w:rPr>
          <w:rFonts w:ascii="楷体" w:eastAsia="楷体" w:hAnsi="楷体" w:cs="楷体" w:hint="eastAsia"/>
          <w:sz w:val="32"/>
          <w:szCs w:val="32"/>
        </w:rPr>
        <w:t>坚持守正创新，助力优化法治化营商环境</w:t>
      </w:r>
      <w:r w:rsidR="00706575">
        <w:rPr>
          <w:rFonts w:ascii="楷体" w:eastAsia="楷体" w:hAnsi="楷体" w:cs="楷体" w:hint="eastAsia"/>
          <w:sz w:val="32"/>
          <w:szCs w:val="32"/>
        </w:rPr>
        <w:t>。</w:t>
      </w:r>
      <w:r w:rsidR="00D70876">
        <w:rPr>
          <w:rFonts w:ascii="仿宋" w:hAnsi="仿宋" w:cs="仿宋" w:hint="eastAsia"/>
          <w:sz w:val="32"/>
          <w:szCs w:val="32"/>
        </w:rPr>
        <w:t>聚焦苏州经济</w:t>
      </w:r>
      <w:r w:rsidR="00D70876">
        <w:rPr>
          <w:rFonts w:ascii="仿宋" w:hAnsi="仿宋" w:cs="仿宋" w:hint="eastAsia"/>
          <w:sz w:val="32"/>
          <w:szCs w:val="32"/>
        </w:rPr>
        <w:lastRenderedPageBreak/>
        <w:t>高质量发展和优化企业劳动用工环境的司法需求，切实找准服务保障的结合点与着力点，不断优化司法服务举措。进一步贯彻“双保护”司法理念，加强对涉互联网平台用工、涉企业高级人才、竞业限制等法律问题的调查研究，服务数字经济时代产业创新集群融合发展。</w:t>
      </w:r>
    </w:p>
    <w:p w:rsidR="001C7934" w:rsidRPr="00706575" w:rsidRDefault="00573CC9" w:rsidP="00706575">
      <w:pPr>
        <w:adjustRightInd w:val="0"/>
        <w:snapToGrid w:val="0"/>
        <w:spacing w:line="560" w:lineRule="exact"/>
        <w:ind w:firstLine="648"/>
        <w:rPr>
          <w:rFonts w:ascii="楷体" w:eastAsia="楷体" w:hAnsi="楷体" w:cs="楷体"/>
          <w:sz w:val="32"/>
          <w:szCs w:val="32"/>
        </w:rPr>
      </w:pPr>
      <w:r>
        <w:rPr>
          <w:rFonts w:ascii="楷体" w:eastAsia="楷体" w:hAnsi="楷体" w:cs="楷体" w:hint="eastAsia"/>
          <w:sz w:val="32"/>
          <w:szCs w:val="32"/>
        </w:rPr>
        <w:t>2.</w:t>
      </w:r>
      <w:r w:rsidR="00D70876">
        <w:rPr>
          <w:rFonts w:ascii="楷体" w:eastAsia="楷体" w:hAnsi="楷体" w:cs="楷体" w:hint="eastAsia"/>
          <w:sz w:val="32"/>
          <w:szCs w:val="32"/>
        </w:rPr>
        <w:t>强化协同联动，优化劳动争议多元化解机制</w:t>
      </w:r>
      <w:r w:rsidR="00706575">
        <w:rPr>
          <w:rFonts w:ascii="楷体" w:eastAsia="楷体" w:hAnsi="楷体" w:cs="楷体" w:hint="eastAsia"/>
          <w:sz w:val="32"/>
          <w:szCs w:val="32"/>
        </w:rPr>
        <w:t>。</w:t>
      </w:r>
      <w:r w:rsidR="00D70876">
        <w:rPr>
          <w:rFonts w:ascii="仿宋" w:hAnsi="仿宋" w:cs="仿宋" w:hint="eastAsia"/>
          <w:sz w:val="32"/>
          <w:szCs w:val="32"/>
        </w:rPr>
        <w:t>进一步完善“裁审衔接”机制，加快打造智慧裁审新平台。推动基层构建劳动争议联动排查、预防、化解平台，提高全市劳动争议“六方联动”机制工作成效。推动在基层人民法院全面设立劳动争议专业调解工作室、专业调解员队伍，借力深化劳动争议诉源治理。</w:t>
      </w:r>
    </w:p>
    <w:p w:rsidR="001C7934" w:rsidRPr="00706575" w:rsidRDefault="00573CC9" w:rsidP="00706575">
      <w:pPr>
        <w:adjustRightInd w:val="0"/>
        <w:snapToGrid w:val="0"/>
        <w:spacing w:line="560" w:lineRule="exact"/>
        <w:ind w:firstLine="648"/>
        <w:rPr>
          <w:rFonts w:ascii="楷体" w:eastAsia="楷体" w:hAnsi="楷体" w:cs="楷体"/>
          <w:snapToGrid w:val="0"/>
          <w:kern w:val="0"/>
          <w:sz w:val="32"/>
          <w:szCs w:val="32"/>
        </w:rPr>
      </w:pPr>
      <w:r>
        <w:rPr>
          <w:rFonts w:ascii="楷体" w:eastAsia="楷体" w:hAnsi="楷体" w:cs="楷体" w:hint="eastAsia"/>
          <w:sz w:val="32"/>
          <w:szCs w:val="32"/>
        </w:rPr>
        <w:t>3.</w:t>
      </w:r>
      <w:r w:rsidR="00D70876">
        <w:rPr>
          <w:rFonts w:ascii="楷体" w:eastAsia="楷体" w:hAnsi="楷体" w:cs="楷体" w:hint="eastAsia"/>
          <w:snapToGrid w:val="0"/>
          <w:kern w:val="0"/>
          <w:sz w:val="32"/>
          <w:szCs w:val="32"/>
        </w:rPr>
        <w:t>加强规则探索，打造可复制可推广劳动审判“苏州经验”</w:t>
      </w:r>
      <w:r w:rsidR="00706575">
        <w:rPr>
          <w:rFonts w:ascii="楷体" w:eastAsia="楷体" w:hAnsi="楷体" w:cs="楷体" w:hint="eastAsia"/>
          <w:snapToGrid w:val="0"/>
          <w:kern w:val="0"/>
          <w:sz w:val="32"/>
          <w:szCs w:val="32"/>
        </w:rPr>
        <w:t>。</w:t>
      </w:r>
      <w:r w:rsidR="00D70876">
        <w:rPr>
          <w:rFonts w:ascii="仿宋" w:hAnsi="仿宋" w:cs="仿宋" w:hint="eastAsia"/>
          <w:sz w:val="32"/>
          <w:szCs w:val="32"/>
        </w:rPr>
        <w:t>按照三年规划，高标准推进苏州劳动法庭建设，在前期建设成果基础上，加强经验总结，从体系化、规范化、标准化三方面提升法庭建设现代化水平。立足审判实际需要，</w:t>
      </w:r>
      <w:r w:rsidR="00BF4AC4">
        <w:rPr>
          <w:rFonts w:ascii="仿宋" w:hAnsi="仿宋" w:cs="仿宋" w:hint="eastAsia"/>
          <w:sz w:val="32"/>
          <w:szCs w:val="32"/>
        </w:rPr>
        <w:t>关注</w:t>
      </w:r>
      <w:r w:rsidR="00D70876">
        <w:rPr>
          <w:rFonts w:ascii="仿宋" w:hAnsi="仿宋" w:cs="仿宋" w:hint="eastAsia"/>
          <w:sz w:val="32"/>
          <w:szCs w:val="32"/>
        </w:rPr>
        <w:t>国内外劳动和社会保障法理论研究前沿，围绕新经济新业态对传统劳动法律体系提出的新课题，以及传统劳动审判领域的类型化疑难问题，打造更多具有示范意义的典型案例，形成更多可复制、可推广的劳动审判经验。</w:t>
      </w:r>
    </w:p>
    <w:p w:rsidR="001C7934" w:rsidRPr="00706575" w:rsidRDefault="00573CC9" w:rsidP="00706575">
      <w:pPr>
        <w:spacing w:line="560" w:lineRule="exact"/>
        <w:ind w:firstLineChars="200" w:firstLine="640"/>
        <w:rPr>
          <w:rFonts w:ascii="楷体" w:eastAsia="楷体" w:hAnsi="楷体" w:cs="楷体"/>
          <w:snapToGrid w:val="0"/>
          <w:kern w:val="0"/>
          <w:sz w:val="32"/>
          <w:szCs w:val="32"/>
        </w:rPr>
      </w:pPr>
      <w:r>
        <w:rPr>
          <w:rFonts w:ascii="楷体" w:eastAsia="楷体" w:hAnsi="楷体" w:cs="楷体" w:hint="eastAsia"/>
          <w:sz w:val="32"/>
          <w:szCs w:val="32"/>
        </w:rPr>
        <w:t>4.</w:t>
      </w:r>
      <w:r w:rsidR="00D70876">
        <w:rPr>
          <w:rFonts w:ascii="楷体" w:eastAsia="楷体" w:hAnsi="楷体" w:cs="楷体" w:hint="eastAsia"/>
          <w:snapToGrid w:val="0"/>
          <w:kern w:val="0"/>
          <w:sz w:val="32"/>
          <w:szCs w:val="32"/>
        </w:rPr>
        <w:t>坚持借力引智，提升劳动审判专业化队伍素质水平</w:t>
      </w:r>
      <w:r w:rsidR="00706575">
        <w:rPr>
          <w:rFonts w:ascii="楷体" w:eastAsia="楷体" w:hAnsi="楷体" w:cs="楷体" w:hint="eastAsia"/>
          <w:snapToGrid w:val="0"/>
          <w:kern w:val="0"/>
          <w:sz w:val="32"/>
          <w:szCs w:val="32"/>
        </w:rPr>
        <w:t>。</w:t>
      </w:r>
      <w:r w:rsidR="00D70876">
        <w:rPr>
          <w:rFonts w:ascii="仿宋" w:hAnsi="仿宋" w:cs="仿宋" w:hint="eastAsia"/>
          <w:sz w:val="32"/>
          <w:szCs w:val="32"/>
        </w:rPr>
        <w:t>充分利用专家</w:t>
      </w:r>
      <w:r w:rsidR="00D70876">
        <w:rPr>
          <w:rFonts w:ascii="仿宋" w:hAnsi="仿宋" w:cs="仿宋"/>
          <w:sz w:val="32"/>
          <w:szCs w:val="32"/>
        </w:rPr>
        <w:t>智库</w:t>
      </w:r>
      <w:r w:rsidR="00D70876">
        <w:rPr>
          <w:rFonts w:ascii="仿宋" w:hAnsi="仿宋" w:cs="仿宋" w:hint="eastAsia"/>
          <w:sz w:val="32"/>
          <w:szCs w:val="32"/>
        </w:rPr>
        <w:t>、高校基地、</w:t>
      </w:r>
      <w:r w:rsidR="00D70876">
        <w:rPr>
          <w:rFonts w:ascii="仿宋" w:hAnsi="仿宋" w:cs="仿宋"/>
          <w:sz w:val="32"/>
          <w:szCs w:val="32"/>
        </w:rPr>
        <w:t>专业研究会</w:t>
      </w:r>
      <w:r w:rsidR="00D70876">
        <w:rPr>
          <w:rFonts w:ascii="仿宋" w:hAnsi="仿宋" w:cs="仿宋" w:hint="eastAsia"/>
          <w:sz w:val="32"/>
          <w:szCs w:val="32"/>
        </w:rPr>
        <w:t>等资源，</w:t>
      </w:r>
      <w:r w:rsidR="003E4FCA">
        <w:rPr>
          <w:rFonts w:ascii="仿宋" w:hAnsi="仿宋" w:cs="仿宋" w:hint="eastAsia"/>
          <w:sz w:val="32"/>
          <w:szCs w:val="32"/>
        </w:rPr>
        <w:t>加快</w:t>
      </w:r>
      <w:r w:rsidR="00D70876">
        <w:rPr>
          <w:rFonts w:ascii="仿宋" w:hAnsi="仿宋" w:cs="仿宋" w:hint="eastAsia"/>
          <w:sz w:val="32"/>
          <w:szCs w:val="32"/>
        </w:rPr>
        <w:t>劳动审判专业化队伍梯队式</w:t>
      </w:r>
      <w:r w:rsidR="003E4FCA">
        <w:rPr>
          <w:rFonts w:ascii="仿宋" w:hAnsi="仿宋" w:cs="仿宋" w:hint="eastAsia"/>
          <w:sz w:val="32"/>
          <w:szCs w:val="32"/>
        </w:rPr>
        <w:t>培养</w:t>
      </w:r>
      <w:r w:rsidR="00D70876">
        <w:rPr>
          <w:rFonts w:ascii="仿宋" w:hAnsi="仿宋" w:cs="仿宋" w:hint="eastAsia"/>
          <w:sz w:val="32"/>
          <w:szCs w:val="32"/>
        </w:rPr>
        <w:t>，努力</w:t>
      </w:r>
      <w:r w:rsidR="003E4FCA">
        <w:rPr>
          <w:rFonts w:ascii="仿宋" w:hAnsi="仿宋" w:cs="仿宋" w:hint="eastAsia"/>
          <w:sz w:val="32"/>
          <w:szCs w:val="32"/>
        </w:rPr>
        <w:t>锻造</w:t>
      </w:r>
      <w:r w:rsidR="00D70876">
        <w:rPr>
          <w:rFonts w:ascii="仿宋" w:hAnsi="仿宋" w:cs="仿宋" w:hint="eastAsia"/>
          <w:sz w:val="32"/>
          <w:szCs w:val="32"/>
        </w:rPr>
        <w:t>一支既精通法律又熟悉经济发展情况和社会保障政策的高素质、专业化、复合型法官队伍。</w:t>
      </w:r>
      <w:bookmarkStart w:id="0" w:name="_GoBack"/>
      <w:bookmarkEnd w:id="0"/>
    </w:p>
    <w:sectPr w:rsidR="001C7934" w:rsidRPr="00706575">
      <w:footerReference w:type="default" r:id="rId10"/>
      <w:pgSz w:w="11906" w:h="16838"/>
      <w:pgMar w:top="2268" w:right="1418" w:bottom="1701"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726" w:rsidRDefault="00090726">
      <w:r>
        <w:separator/>
      </w:r>
    </w:p>
  </w:endnote>
  <w:endnote w:type="continuationSeparator" w:id="0">
    <w:p w:rsidR="00090726" w:rsidRDefault="0009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813120"/>
      <w:docPartObj>
        <w:docPartGallery w:val="AutoText"/>
      </w:docPartObj>
    </w:sdtPr>
    <w:sdtEndPr/>
    <w:sdtContent>
      <w:p w:rsidR="001C7934" w:rsidRDefault="00D70876">
        <w:pPr>
          <w:pStyle w:val="a4"/>
          <w:jc w:val="center"/>
        </w:pPr>
        <w:r>
          <w:fldChar w:fldCharType="begin"/>
        </w:r>
        <w:r>
          <w:instrText>PAGE   \* MERGEFORMAT</w:instrText>
        </w:r>
        <w:r>
          <w:fldChar w:fldCharType="separate"/>
        </w:r>
        <w:r w:rsidR="00706575" w:rsidRPr="00706575">
          <w:rPr>
            <w:noProof/>
            <w:lang w:val="zh-CN"/>
          </w:rPr>
          <w:t>-</w:t>
        </w:r>
        <w:r w:rsidR="00706575">
          <w:rPr>
            <w:noProof/>
          </w:rPr>
          <w:t xml:space="preserve"> 10 -</w:t>
        </w:r>
        <w:r>
          <w:fldChar w:fldCharType="end"/>
        </w:r>
      </w:p>
    </w:sdtContent>
  </w:sdt>
  <w:p w:rsidR="001C7934" w:rsidRDefault="001C79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726" w:rsidRDefault="00090726">
      <w:r>
        <w:separator/>
      </w:r>
    </w:p>
  </w:footnote>
  <w:footnote w:type="continuationSeparator" w:id="0">
    <w:p w:rsidR="00090726" w:rsidRDefault="0009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ZDBkNGI5N2JmMWQ3YjZlMmRmNzg5M2I0N2EwNTYifQ=="/>
  </w:docVars>
  <w:rsids>
    <w:rsidRoot w:val="00AE33B7"/>
    <w:rsid w:val="00001AD3"/>
    <w:rsid w:val="00001B37"/>
    <w:rsid w:val="00021F20"/>
    <w:rsid w:val="0003348D"/>
    <w:rsid w:val="00033EA4"/>
    <w:rsid w:val="00042A33"/>
    <w:rsid w:val="00047FF1"/>
    <w:rsid w:val="00064957"/>
    <w:rsid w:val="000746B3"/>
    <w:rsid w:val="00076EF6"/>
    <w:rsid w:val="000802E2"/>
    <w:rsid w:val="00084CE3"/>
    <w:rsid w:val="00085490"/>
    <w:rsid w:val="00090726"/>
    <w:rsid w:val="00091463"/>
    <w:rsid w:val="000B751A"/>
    <w:rsid w:val="000D2841"/>
    <w:rsid w:val="000E711A"/>
    <w:rsid w:val="000F6355"/>
    <w:rsid w:val="00100545"/>
    <w:rsid w:val="0011608E"/>
    <w:rsid w:val="00116721"/>
    <w:rsid w:val="0012003E"/>
    <w:rsid w:val="00122192"/>
    <w:rsid w:val="001260CE"/>
    <w:rsid w:val="00136056"/>
    <w:rsid w:val="0013726A"/>
    <w:rsid w:val="00144876"/>
    <w:rsid w:val="00146EC8"/>
    <w:rsid w:val="00147980"/>
    <w:rsid w:val="0015676E"/>
    <w:rsid w:val="001610DF"/>
    <w:rsid w:val="001630C0"/>
    <w:rsid w:val="00172DA8"/>
    <w:rsid w:val="00172EFD"/>
    <w:rsid w:val="001806B9"/>
    <w:rsid w:val="00183438"/>
    <w:rsid w:val="00186528"/>
    <w:rsid w:val="00186858"/>
    <w:rsid w:val="001873BC"/>
    <w:rsid w:val="00192F08"/>
    <w:rsid w:val="00194C1D"/>
    <w:rsid w:val="00197DC9"/>
    <w:rsid w:val="001B0507"/>
    <w:rsid w:val="001B0735"/>
    <w:rsid w:val="001B1210"/>
    <w:rsid w:val="001B71E5"/>
    <w:rsid w:val="001C5965"/>
    <w:rsid w:val="001C7934"/>
    <w:rsid w:val="001D18C3"/>
    <w:rsid w:val="001D6869"/>
    <w:rsid w:val="001D7DF4"/>
    <w:rsid w:val="001E077B"/>
    <w:rsid w:val="001F0E11"/>
    <w:rsid w:val="001F2E20"/>
    <w:rsid w:val="00203E7D"/>
    <w:rsid w:val="00205836"/>
    <w:rsid w:val="0020704B"/>
    <w:rsid w:val="00214B3F"/>
    <w:rsid w:val="00220804"/>
    <w:rsid w:val="0024206B"/>
    <w:rsid w:val="00242CF7"/>
    <w:rsid w:val="00270161"/>
    <w:rsid w:val="00273748"/>
    <w:rsid w:val="0029109B"/>
    <w:rsid w:val="0029132F"/>
    <w:rsid w:val="00294E71"/>
    <w:rsid w:val="002A6971"/>
    <w:rsid w:val="002B10A1"/>
    <w:rsid w:val="002B4629"/>
    <w:rsid w:val="002C42D9"/>
    <w:rsid w:val="002C5F3A"/>
    <w:rsid w:val="002D14A3"/>
    <w:rsid w:val="002D3036"/>
    <w:rsid w:val="002E200E"/>
    <w:rsid w:val="002F3044"/>
    <w:rsid w:val="002F63EC"/>
    <w:rsid w:val="00303D50"/>
    <w:rsid w:val="00305ACD"/>
    <w:rsid w:val="00305B63"/>
    <w:rsid w:val="00315E1B"/>
    <w:rsid w:val="003173DC"/>
    <w:rsid w:val="00322AE2"/>
    <w:rsid w:val="00322C59"/>
    <w:rsid w:val="003244BD"/>
    <w:rsid w:val="00330218"/>
    <w:rsid w:val="00334DFD"/>
    <w:rsid w:val="00335576"/>
    <w:rsid w:val="003364EB"/>
    <w:rsid w:val="0034595D"/>
    <w:rsid w:val="0035538F"/>
    <w:rsid w:val="00363A4B"/>
    <w:rsid w:val="00365BD7"/>
    <w:rsid w:val="00372749"/>
    <w:rsid w:val="00376F46"/>
    <w:rsid w:val="00377634"/>
    <w:rsid w:val="00384255"/>
    <w:rsid w:val="003845DF"/>
    <w:rsid w:val="003A1677"/>
    <w:rsid w:val="003A721C"/>
    <w:rsid w:val="003B3217"/>
    <w:rsid w:val="003C111B"/>
    <w:rsid w:val="003E4FCA"/>
    <w:rsid w:val="003E769A"/>
    <w:rsid w:val="003F50A0"/>
    <w:rsid w:val="003F730D"/>
    <w:rsid w:val="003F7317"/>
    <w:rsid w:val="00400338"/>
    <w:rsid w:val="00407596"/>
    <w:rsid w:val="004154B9"/>
    <w:rsid w:val="00417E77"/>
    <w:rsid w:val="004213DA"/>
    <w:rsid w:val="00422616"/>
    <w:rsid w:val="00423DD0"/>
    <w:rsid w:val="0043192D"/>
    <w:rsid w:val="00431CD8"/>
    <w:rsid w:val="00444807"/>
    <w:rsid w:val="004449CB"/>
    <w:rsid w:val="00451A9F"/>
    <w:rsid w:val="00451CFC"/>
    <w:rsid w:val="00460C02"/>
    <w:rsid w:val="004617F0"/>
    <w:rsid w:val="00480D30"/>
    <w:rsid w:val="00481769"/>
    <w:rsid w:val="00484FC5"/>
    <w:rsid w:val="004966E4"/>
    <w:rsid w:val="004A5B23"/>
    <w:rsid w:val="004B5AA6"/>
    <w:rsid w:val="004C50E5"/>
    <w:rsid w:val="004C74F2"/>
    <w:rsid w:val="004C7DF1"/>
    <w:rsid w:val="004D39CA"/>
    <w:rsid w:val="004D3EE6"/>
    <w:rsid w:val="004D42A6"/>
    <w:rsid w:val="004D795A"/>
    <w:rsid w:val="004E3DBF"/>
    <w:rsid w:val="004F0C7D"/>
    <w:rsid w:val="005025BE"/>
    <w:rsid w:val="00505566"/>
    <w:rsid w:val="00507183"/>
    <w:rsid w:val="0051398F"/>
    <w:rsid w:val="005213AB"/>
    <w:rsid w:val="00525FB8"/>
    <w:rsid w:val="005308B2"/>
    <w:rsid w:val="00532C73"/>
    <w:rsid w:val="00534009"/>
    <w:rsid w:val="00535F8C"/>
    <w:rsid w:val="005412EE"/>
    <w:rsid w:val="00543B40"/>
    <w:rsid w:val="00543BB3"/>
    <w:rsid w:val="00554B6B"/>
    <w:rsid w:val="00554DA0"/>
    <w:rsid w:val="00554E30"/>
    <w:rsid w:val="0055513F"/>
    <w:rsid w:val="00556F8F"/>
    <w:rsid w:val="005666D3"/>
    <w:rsid w:val="005707CF"/>
    <w:rsid w:val="00573CC9"/>
    <w:rsid w:val="00576580"/>
    <w:rsid w:val="00580D07"/>
    <w:rsid w:val="00583EC9"/>
    <w:rsid w:val="00594712"/>
    <w:rsid w:val="00597348"/>
    <w:rsid w:val="005978E9"/>
    <w:rsid w:val="00597B8F"/>
    <w:rsid w:val="005A0DD3"/>
    <w:rsid w:val="005A1B5C"/>
    <w:rsid w:val="005A279A"/>
    <w:rsid w:val="005A3F71"/>
    <w:rsid w:val="005A5B8B"/>
    <w:rsid w:val="005B28B9"/>
    <w:rsid w:val="005C3062"/>
    <w:rsid w:val="005C54F1"/>
    <w:rsid w:val="005D117B"/>
    <w:rsid w:val="005D2027"/>
    <w:rsid w:val="005D6686"/>
    <w:rsid w:val="005F25C3"/>
    <w:rsid w:val="005F55B0"/>
    <w:rsid w:val="006063B5"/>
    <w:rsid w:val="006157CF"/>
    <w:rsid w:val="006159BA"/>
    <w:rsid w:val="00617783"/>
    <w:rsid w:val="00626E40"/>
    <w:rsid w:val="00627678"/>
    <w:rsid w:val="0062786E"/>
    <w:rsid w:val="00643577"/>
    <w:rsid w:val="00645724"/>
    <w:rsid w:val="0064730E"/>
    <w:rsid w:val="00647443"/>
    <w:rsid w:val="00661A4B"/>
    <w:rsid w:val="00666FEF"/>
    <w:rsid w:val="0067428B"/>
    <w:rsid w:val="0067695C"/>
    <w:rsid w:val="00677FDB"/>
    <w:rsid w:val="00680740"/>
    <w:rsid w:val="00684C01"/>
    <w:rsid w:val="006877B7"/>
    <w:rsid w:val="00691CF0"/>
    <w:rsid w:val="00696782"/>
    <w:rsid w:val="006A1D88"/>
    <w:rsid w:val="006B11DA"/>
    <w:rsid w:val="006B1368"/>
    <w:rsid w:val="006B1DE5"/>
    <w:rsid w:val="006B6681"/>
    <w:rsid w:val="006C3770"/>
    <w:rsid w:val="006C5562"/>
    <w:rsid w:val="006D6D23"/>
    <w:rsid w:val="006E6448"/>
    <w:rsid w:val="00701E54"/>
    <w:rsid w:val="00706575"/>
    <w:rsid w:val="00713519"/>
    <w:rsid w:val="00715D2D"/>
    <w:rsid w:val="00722295"/>
    <w:rsid w:val="00724A30"/>
    <w:rsid w:val="007312B1"/>
    <w:rsid w:val="00743AAD"/>
    <w:rsid w:val="007441C4"/>
    <w:rsid w:val="0075033D"/>
    <w:rsid w:val="00756BDD"/>
    <w:rsid w:val="00762CC8"/>
    <w:rsid w:val="00764987"/>
    <w:rsid w:val="00772B5D"/>
    <w:rsid w:val="00772DD4"/>
    <w:rsid w:val="007772FF"/>
    <w:rsid w:val="00782707"/>
    <w:rsid w:val="00785E3B"/>
    <w:rsid w:val="007918F8"/>
    <w:rsid w:val="00792422"/>
    <w:rsid w:val="00795739"/>
    <w:rsid w:val="007A0BCF"/>
    <w:rsid w:val="007A4E7C"/>
    <w:rsid w:val="007A5815"/>
    <w:rsid w:val="007A6BA6"/>
    <w:rsid w:val="007B3277"/>
    <w:rsid w:val="007C1D8A"/>
    <w:rsid w:val="007C3715"/>
    <w:rsid w:val="007C6BA7"/>
    <w:rsid w:val="007D4D2E"/>
    <w:rsid w:val="007E17AC"/>
    <w:rsid w:val="007E2335"/>
    <w:rsid w:val="007E4ECF"/>
    <w:rsid w:val="007E5DA9"/>
    <w:rsid w:val="007F1F4C"/>
    <w:rsid w:val="007F255D"/>
    <w:rsid w:val="007F712D"/>
    <w:rsid w:val="00813191"/>
    <w:rsid w:val="00813B92"/>
    <w:rsid w:val="008172C5"/>
    <w:rsid w:val="00830C93"/>
    <w:rsid w:val="008343A8"/>
    <w:rsid w:val="00835D97"/>
    <w:rsid w:val="008455F6"/>
    <w:rsid w:val="00847B92"/>
    <w:rsid w:val="00856AC1"/>
    <w:rsid w:val="008606B8"/>
    <w:rsid w:val="008625EA"/>
    <w:rsid w:val="00865663"/>
    <w:rsid w:val="008738F4"/>
    <w:rsid w:val="008745F8"/>
    <w:rsid w:val="00886715"/>
    <w:rsid w:val="0088683C"/>
    <w:rsid w:val="00893927"/>
    <w:rsid w:val="00896408"/>
    <w:rsid w:val="008A4933"/>
    <w:rsid w:val="008A5280"/>
    <w:rsid w:val="008C10AA"/>
    <w:rsid w:val="008C6935"/>
    <w:rsid w:val="008D0C2A"/>
    <w:rsid w:val="008D347C"/>
    <w:rsid w:val="008D5734"/>
    <w:rsid w:val="008E470A"/>
    <w:rsid w:val="008E60C9"/>
    <w:rsid w:val="008F17EF"/>
    <w:rsid w:val="009032FE"/>
    <w:rsid w:val="00904761"/>
    <w:rsid w:val="00911C05"/>
    <w:rsid w:val="0092297B"/>
    <w:rsid w:val="00930B76"/>
    <w:rsid w:val="00934C6F"/>
    <w:rsid w:val="00937EBA"/>
    <w:rsid w:val="00943122"/>
    <w:rsid w:val="00943635"/>
    <w:rsid w:val="00944CC8"/>
    <w:rsid w:val="00946F85"/>
    <w:rsid w:val="00951FEA"/>
    <w:rsid w:val="00953F16"/>
    <w:rsid w:val="009603DB"/>
    <w:rsid w:val="0096311B"/>
    <w:rsid w:val="00966CE0"/>
    <w:rsid w:val="00981FD7"/>
    <w:rsid w:val="009865CE"/>
    <w:rsid w:val="0099426C"/>
    <w:rsid w:val="009A18D6"/>
    <w:rsid w:val="009A19E1"/>
    <w:rsid w:val="009A3C35"/>
    <w:rsid w:val="009A4FAC"/>
    <w:rsid w:val="009A592A"/>
    <w:rsid w:val="009A6112"/>
    <w:rsid w:val="009B1940"/>
    <w:rsid w:val="009B39F5"/>
    <w:rsid w:val="009C6F48"/>
    <w:rsid w:val="009C7124"/>
    <w:rsid w:val="009C720D"/>
    <w:rsid w:val="009D0E2F"/>
    <w:rsid w:val="009D230C"/>
    <w:rsid w:val="009E08D9"/>
    <w:rsid w:val="009E2EDF"/>
    <w:rsid w:val="009E4652"/>
    <w:rsid w:val="00A14D07"/>
    <w:rsid w:val="00A160D5"/>
    <w:rsid w:val="00A2258C"/>
    <w:rsid w:val="00A278D9"/>
    <w:rsid w:val="00A30E37"/>
    <w:rsid w:val="00A433C6"/>
    <w:rsid w:val="00A54409"/>
    <w:rsid w:val="00A61F1A"/>
    <w:rsid w:val="00A739AF"/>
    <w:rsid w:val="00A73DA1"/>
    <w:rsid w:val="00A77D2F"/>
    <w:rsid w:val="00A9745B"/>
    <w:rsid w:val="00AB1B79"/>
    <w:rsid w:val="00AC2748"/>
    <w:rsid w:val="00AE2F49"/>
    <w:rsid w:val="00AE33B7"/>
    <w:rsid w:val="00AF146A"/>
    <w:rsid w:val="00AF30D7"/>
    <w:rsid w:val="00AF3BBF"/>
    <w:rsid w:val="00B030FC"/>
    <w:rsid w:val="00B06362"/>
    <w:rsid w:val="00B071B9"/>
    <w:rsid w:val="00B1323D"/>
    <w:rsid w:val="00B17F0D"/>
    <w:rsid w:val="00B21DA7"/>
    <w:rsid w:val="00B25765"/>
    <w:rsid w:val="00B26265"/>
    <w:rsid w:val="00B2677B"/>
    <w:rsid w:val="00B316BA"/>
    <w:rsid w:val="00B34E1C"/>
    <w:rsid w:val="00B40E6B"/>
    <w:rsid w:val="00B429D2"/>
    <w:rsid w:val="00B550FD"/>
    <w:rsid w:val="00B5569A"/>
    <w:rsid w:val="00B6031E"/>
    <w:rsid w:val="00B71414"/>
    <w:rsid w:val="00B73205"/>
    <w:rsid w:val="00B738A6"/>
    <w:rsid w:val="00B77309"/>
    <w:rsid w:val="00B80136"/>
    <w:rsid w:val="00B87CAE"/>
    <w:rsid w:val="00B90F80"/>
    <w:rsid w:val="00B9704D"/>
    <w:rsid w:val="00BA553F"/>
    <w:rsid w:val="00BB350E"/>
    <w:rsid w:val="00BD0744"/>
    <w:rsid w:val="00BD4D49"/>
    <w:rsid w:val="00BD710E"/>
    <w:rsid w:val="00BD7ED3"/>
    <w:rsid w:val="00BE026A"/>
    <w:rsid w:val="00BE0E88"/>
    <w:rsid w:val="00BE5827"/>
    <w:rsid w:val="00BE685E"/>
    <w:rsid w:val="00BF0A36"/>
    <w:rsid w:val="00BF4AC4"/>
    <w:rsid w:val="00BF7CAB"/>
    <w:rsid w:val="00C04494"/>
    <w:rsid w:val="00C049AE"/>
    <w:rsid w:val="00C12975"/>
    <w:rsid w:val="00C17BB5"/>
    <w:rsid w:val="00C26BF9"/>
    <w:rsid w:val="00C272E7"/>
    <w:rsid w:val="00C336EF"/>
    <w:rsid w:val="00C34815"/>
    <w:rsid w:val="00C425BD"/>
    <w:rsid w:val="00C53C7D"/>
    <w:rsid w:val="00C606D2"/>
    <w:rsid w:val="00C67CAF"/>
    <w:rsid w:val="00C75F36"/>
    <w:rsid w:val="00C75FE9"/>
    <w:rsid w:val="00C8054F"/>
    <w:rsid w:val="00C819C4"/>
    <w:rsid w:val="00C8381B"/>
    <w:rsid w:val="00C848C5"/>
    <w:rsid w:val="00C85CF0"/>
    <w:rsid w:val="00C97A12"/>
    <w:rsid w:val="00CA6760"/>
    <w:rsid w:val="00CA768A"/>
    <w:rsid w:val="00CB35DF"/>
    <w:rsid w:val="00CB38B4"/>
    <w:rsid w:val="00CB588C"/>
    <w:rsid w:val="00CC1B34"/>
    <w:rsid w:val="00CC69B6"/>
    <w:rsid w:val="00CD16E6"/>
    <w:rsid w:val="00CD1C36"/>
    <w:rsid w:val="00CF3BEF"/>
    <w:rsid w:val="00D06C85"/>
    <w:rsid w:val="00D16FE9"/>
    <w:rsid w:val="00D2528E"/>
    <w:rsid w:val="00D25DAC"/>
    <w:rsid w:val="00D32E4A"/>
    <w:rsid w:val="00D35398"/>
    <w:rsid w:val="00D43B92"/>
    <w:rsid w:val="00D45E44"/>
    <w:rsid w:val="00D46CB1"/>
    <w:rsid w:val="00D52228"/>
    <w:rsid w:val="00D52E05"/>
    <w:rsid w:val="00D53756"/>
    <w:rsid w:val="00D56662"/>
    <w:rsid w:val="00D57F9A"/>
    <w:rsid w:val="00D66DF2"/>
    <w:rsid w:val="00D700E6"/>
    <w:rsid w:val="00D70876"/>
    <w:rsid w:val="00D73A8D"/>
    <w:rsid w:val="00D743C9"/>
    <w:rsid w:val="00D7799E"/>
    <w:rsid w:val="00D80B87"/>
    <w:rsid w:val="00D80BB1"/>
    <w:rsid w:val="00DA3D20"/>
    <w:rsid w:val="00DB3DA6"/>
    <w:rsid w:val="00DB64C9"/>
    <w:rsid w:val="00DB6A20"/>
    <w:rsid w:val="00DC17B0"/>
    <w:rsid w:val="00DC1FA4"/>
    <w:rsid w:val="00DC2797"/>
    <w:rsid w:val="00DC4203"/>
    <w:rsid w:val="00DC478F"/>
    <w:rsid w:val="00DC733D"/>
    <w:rsid w:val="00DF0354"/>
    <w:rsid w:val="00DF4621"/>
    <w:rsid w:val="00E02E0E"/>
    <w:rsid w:val="00E04195"/>
    <w:rsid w:val="00E06CA1"/>
    <w:rsid w:val="00E10976"/>
    <w:rsid w:val="00E159B3"/>
    <w:rsid w:val="00E20C40"/>
    <w:rsid w:val="00E24BC1"/>
    <w:rsid w:val="00E33A5B"/>
    <w:rsid w:val="00E45EEE"/>
    <w:rsid w:val="00E54E5F"/>
    <w:rsid w:val="00E610D1"/>
    <w:rsid w:val="00E63E97"/>
    <w:rsid w:val="00E7520D"/>
    <w:rsid w:val="00E80754"/>
    <w:rsid w:val="00E87EDD"/>
    <w:rsid w:val="00E90729"/>
    <w:rsid w:val="00E907A4"/>
    <w:rsid w:val="00E91CB5"/>
    <w:rsid w:val="00E97556"/>
    <w:rsid w:val="00EA5719"/>
    <w:rsid w:val="00EA751D"/>
    <w:rsid w:val="00EA7B9F"/>
    <w:rsid w:val="00EB1256"/>
    <w:rsid w:val="00EB366F"/>
    <w:rsid w:val="00EC6285"/>
    <w:rsid w:val="00EC783B"/>
    <w:rsid w:val="00ED0B58"/>
    <w:rsid w:val="00ED54D7"/>
    <w:rsid w:val="00EF3CF3"/>
    <w:rsid w:val="00EF6C98"/>
    <w:rsid w:val="00F20303"/>
    <w:rsid w:val="00F260EE"/>
    <w:rsid w:val="00F31682"/>
    <w:rsid w:val="00F322CB"/>
    <w:rsid w:val="00F41D46"/>
    <w:rsid w:val="00F423F2"/>
    <w:rsid w:val="00F426B8"/>
    <w:rsid w:val="00F466B2"/>
    <w:rsid w:val="00F52DF0"/>
    <w:rsid w:val="00F53D1A"/>
    <w:rsid w:val="00F54040"/>
    <w:rsid w:val="00F553DE"/>
    <w:rsid w:val="00F61C08"/>
    <w:rsid w:val="00F76461"/>
    <w:rsid w:val="00F77342"/>
    <w:rsid w:val="00F80BBB"/>
    <w:rsid w:val="00F900FB"/>
    <w:rsid w:val="00F911FA"/>
    <w:rsid w:val="00F91A69"/>
    <w:rsid w:val="00FA5443"/>
    <w:rsid w:val="00FA79A0"/>
    <w:rsid w:val="00FB38D9"/>
    <w:rsid w:val="00FC025D"/>
    <w:rsid w:val="00FC5430"/>
    <w:rsid w:val="00FD1BEE"/>
    <w:rsid w:val="00FD2A33"/>
    <w:rsid w:val="00FD5621"/>
    <w:rsid w:val="00FF0B43"/>
    <w:rsid w:val="00FF126F"/>
    <w:rsid w:val="00FF5FB7"/>
    <w:rsid w:val="089F7EAE"/>
    <w:rsid w:val="09A17C56"/>
    <w:rsid w:val="0DC3019B"/>
    <w:rsid w:val="0EB75826"/>
    <w:rsid w:val="126F2E92"/>
    <w:rsid w:val="13525B1D"/>
    <w:rsid w:val="180C1011"/>
    <w:rsid w:val="1C25120D"/>
    <w:rsid w:val="1C2D7127"/>
    <w:rsid w:val="1E1203AA"/>
    <w:rsid w:val="264439EB"/>
    <w:rsid w:val="267A740D"/>
    <w:rsid w:val="26D106D6"/>
    <w:rsid w:val="2A53244F"/>
    <w:rsid w:val="35C1746E"/>
    <w:rsid w:val="37FB65FF"/>
    <w:rsid w:val="3801798E"/>
    <w:rsid w:val="38817476"/>
    <w:rsid w:val="3A76183D"/>
    <w:rsid w:val="3FC65C1B"/>
    <w:rsid w:val="42E83C24"/>
    <w:rsid w:val="430D612A"/>
    <w:rsid w:val="4C0752E2"/>
    <w:rsid w:val="4C284645"/>
    <w:rsid w:val="4C7958ED"/>
    <w:rsid w:val="4CE47D3A"/>
    <w:rsid w:val="4EC57030"/>
    <w:rsid w:val="4F38383D"/>
    <w:rsid w:val="55081F04"/>
    <w:rsid w:val="56334D5F"/>
    <w:rsid w:val="57D91936"/>
    <w:rsid w:val="583628E4"/>
    <w:rsid w:val="5B2F305B"/>
    <w:rsid w:val="5B321886"/>
    <w:rsid w:val="5C485C4D"/>
    <w:rsid w:val="5C877BB2"/>
    <w:rsid w:val="5CF80AB0"/>
    <w:rsid w:val="67917B37"/>
    <w:rsid w:val="6DEB7242"/>
    <w:rsid w:val="6EAD34A8"/>
    <w:rsid w:val="6F241291"/>
    <w:rsid w:val="6F392F8E"/>
    <w:rsid w:val="6FAE4EFE"/>
    <w:rsid w:val="74782D31"/>
    <w:rsid w:val="759E7133"/>
    <w:rsid w:val="75F95225"/>
    <w:rsid w:val="79ED50A1"/>
    <w:rsid w:val="7DF51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qFormat="1"/>
    <w:lsdException w:name="footer" w:semiHidden="0" w:qFormat="1"/>
    <w:lsdException w:name="caption" w:uiPriority="35" w:qFormat="1"/>
    <w:lsdException w:name="footnote reference" w:semiHidden="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pPr>
      <w:snapToGrid w:val="0"/>
      <w:jc w:val="left"/>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rPr>
  </w:style>
  <w:style w:type="character" w:styleId="a8">
    <w:name w:val="footnote reference"/>
    <w:basedOn w:val="a0"/>
    <w:uiPriority w:val="99"/>
    <w:unhideWhenUsed/>
    <w:rPr>
      <w:vertAlign w:val="superscript"/>
    </w:rPr>
  </w:style>
  <w:style w:type="character" w:customStyle="1" w:styleId="Char">
    <w:name w:val="批注框文本 Char"/>
    <w:basedOn w:val="a0"/>
    <w:link w:val="a3"/>
    <w:uiPriority w:val="99"/>
    <w:semiHidden/>
    <w:rPr>
      <w:rFonts w:ascii="Times New Roman" w:eastAsia="仿宋"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rFonts w:ascii="Times New Roman" w:eastAsia="仿宋" w:hAnsi="Times New Roman" w:cs="Times New Roman"/>
      <w:sz w:val="18"/>
      <w:szCs w:val="18"/>
    </w:rPr>
  </w:style>
  <w:style w:type="character" w:customStyle="1" w:styleId="Char0">
    <w:name w:val="页脚 Char"/>
    <w:basedOn w:val="a0"/>
    <w:link w:val="a4"/>
    <w:uiPriority w:val="99"/>
    <w:qFormat/>
    <w:rPr>
      <w:rFonts w:ascii="Times New Roman" w:eastAsia="仿宋" w:hAnsi="Times New Roman" w:cs="Times New Roman"/>
      <w:sz w:val="18"/>
      <w:szCs w:val="18"/>
    </w:rPr>
  </w:style>
  <w:style w:type="character" w:customStyle="1" w:styleId="Char2">
    <w:name w:val="脚注文本 Char"/>
    <w:basedOn w:val="a0"/>
    <w:link w:val="a6"/>
    <w:uiPriority w:val="99"/>
    <w:rPr>
      <w:rFonts w:ascii="Times New Roman" w:eastAsia="仿宋"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qFormat="1"/>
    <w:lsdException w:name="footer" w:semiHidden="0" w:qFormat="1"/>
    <w:lsdException w:name="caption" w:uiPriority="35" w:qFormat="1"/>
    <w:lsdException w:name="footnote reference" w:semiHidden="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pPr>
      <w:snapToGrid w:val="0"/>
      <w:jc w:val="left"/>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rPr>
  </w:style>
  <w:style w:type="character" w:styleId="a8">
    <w:name w:val="footnote reference"/>
    <w:basedOn w:val="a0"/>
    <w:uiPriority w:val="99"/>
    <w:unhideWhenUsed/>
    <w:rPr>
      <w:vertAlign w:val="superscript"/>
    </w:rPr>
  </w:style>
  <w:style w:type="character" w:customStyle="1" w:styleId="Char">
    <w:name w:val="批注框文本 Char"/>
    <w:basedOn w:val="a0"/>
    <w:link w:val="a3"/>
    <w:uiPriority w:val="99"/>
    <w:semiHidden/>
    <w:rPr>
      <w:rFonts w:ascii="Times New Roman" w:eastAsia="仿宋"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rFonts w:ascii="Times New Roman" w:eastAsia="仿宋" w:hAnsi="Times New Roman" w:cs="Times New Roman"/>
      <w:sz w:val="18"/>
      <w:szCs w:val="18"/>
    </w:rPr>
  </w:style>
  <w:style w:type="character" w:customStyle="1" w:styleId="Char0">
    <w:name w:val="页脚 Char"/>
    <w:basedOn w:val="a0"/>
    <w:link w:val="a4"/>
    <w:uiPriority w:val="99"/>
    <w:qFormat/>
    <w:rPr>
      <w:rFonts w:ascii="Times New Roman" w:eastAsia="仿宋" w:hAnsi="Times New Roman" w:cs="Times New Roman"/>
      <w:sz w:val="18"/>
      <w:szCs w:val="18"/>
    </w:rPr>
  </w:style>
  <w:style w:type="character" w:customStyle="1" w:styleId="Char2">
    <w:name w:val="脚注文本 Char"/>
    <w:basedOn w:val="a0"/>
    <w:link w:val="a6"/>
    <w:uiPriority w:val="99"/>
    <w:rPr>
      <w:rFonts w:ascii="Times New Roman" w:eastAsia="仿宋"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C28\Desktop\&#19977;&#31295;&#19982;&#24577;&#21183;&#20998;&#26512;&#25253;&#21578;&#21305;&#37197;&#30340;&#34920;&#2668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C28\Desktop\&#19977;&#31295;&#19982;&#24577;&#21183;&#20998;&#26512;&#25253;&#21578;&#21305;&#37197;&#30340;&#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083333333333"/>
          <c:y val="0.172916666666667"/>
          <c:w val="0.78066666666666695"/>
          <c:h val="0.60680555555555604"/>
        </c:manualLayout>
      </c:layout>
      <c:barChart>
        <c:barDir val="col"/>
        <c:grouping val="clustered"/>
        <c:varyColors val="0"/>
        <c:ser>
          <c:idx val="0"/>
          <c:order val="0"/>
          <c:tx>
            <c:strRef>
              <c:f>[三稿与态势分析报告匹配的表格.xlsx]Sheet1!$A$3</c:f>
              <c:strCache>
                <c:ptCount val="1"/>
                <c:pt idx="0">
                  <c:v>2021年</c:v>
                </c:pt>
              </c:strCache>
            </c:strRef>
          </c:tx>
          <c:spPr>
            <a:solidFill>
              <a:srgbClr val="4F81BD"/>
            </a:solidFill>
            <a:ln>
              <a:noFill/>
            </a:ln>
            <a:effectLst/>
          </c:spPr>
          <c:invertIfNegative val="0"/>
          <c:cat>
            <c:strRef>
              <c:f>[三稿与态势分析报告匹配的表格.xlsx]Sheet1!$B$2:$E$2</c:f>
              <c:strCache>
                <c:ptCount val="4"/>
                <c:pt idx="0">
                  <c:v>旧存</c:v>
                </c:pt>
                <c:pt idx="1">
                  <c:v>新收</c:v>
                </c:pt>
                <c:pt idx="2">
                  <c:v>受理</c:v>
                </c:pt>
                <c:pt idx="3">
                  <c:v>审结</c:v>
                </c:pt>
              </c:strCache>
            </c:strRef>
          </c:cat>
          <c:val>
            <c:numRef>
              <c:f>[三稿与态势分析报告匹配的表格.xlsx]Sheet1!$B$3:$E$3</c:f>
              <c:numCache>
                <c:formatCode>General</c:formatCode>
                <c:ptCount val="4"/>
                <c:pt idx="0">
                  <c:v>1455</c:v>
                </c:pt>
                <c:pt idx="1">
                  <c:v>9315</c:v>
                </c:pt>
                <c:pt idx="2">
                  <c:v>10770</c:v>
                </c:pt>
                <c:pt idx="3">
                  <c:v>9244</c:v>
                </c:pt>
              </c:numCache>
            </c:numRef>
          </c:val>
        </c:ser>
        <c:ser>
          <c:idx val="1"/>
          <c:order val="1"/>
          <c:tx>
            <c:strRef>
              <c:f>[三稿与态势分析报告匹配的表格.xlsx]Sheet1!$A$4</c:f>
              <c:strCache>
                <c:ptCount val="1"/>
                <c:pt idx="0">
                  <c:v>2022年</c:v>
                </c:pt>
              </c:strCache>
            </c:strRef>
          </c:tx>
          <c:spPr>
            <a:solidFill>
              <a:srgbClr val="C0504D"/>
            </a:solidFill>
            <a:ln>
              <a:noFill/>
            </a:ln>
            <a:effectLst/>
          </c:spPr>
          <c:invertIfNegative val="0"/>
          <c:cat>
            <c:strRef>
              <c:f>[三稿与态势分析报告匹配的表格.xlsx]Sheet1!$B$2:$E$2</c:f>
              <c:strCache>
                <c:ptCount val="4"/>
                <c:pt idx="0">
                  <c:v>旧存</c:v>
                </c:pt>
                <c:pt idx="1">
                  <c:v>新收</c:v>
                </c:pt>
                <c:pt idx="2">
                  <c:v>受理</c:v>
                </c:pt>
                <c:pt idx="3">
                  <c:v>审结</c:v>
                </c:pt>
              </c:strCache>
            </c:strRef>
          </c:cat>
          <c:val>
            <c:numRef>
              <c:f>[三稿与态势分析报告匹配的表格.xlsx]Sheet1!$B$4:$E$4</c:f>
              <c:numCache>
                <c:formatCode>General</c:formatCode>
                <c:ptCount val="4"/>
                <c:pt idx="0">
                  <c:v>1972</c:v>
                </c:pt>
                <c:pt idx="1">
                  <c:v>8665</c:v>
                </c:pt>
                <c:pt idx="2">
                  <c:v>10240</c:v>
                </c:pt>
                <c:pt idx="3">
                  <c:v>8857</c:v>
                </c:pt>
              </c:numCache>
            </c:numRef>
          </c:val>
        </c:ser>
        <c:dLbls>
          <c:showLegendKey val="0"/>
          <c:showVal val="0"/>
          <c:showCatName val="0"/>
          <c:showSerName val="0"/>
          <c:showPercent val="0"/>
          <c:showBubbleSize val="0"/>
        </c:dLbls>
        <c:gapWidth val="462"/>
        <c:overlap val="-33"/>
        <c:axId val="218157824"/>
        <c:axId val="218159744"/>
      </c:barChart>
      <c:lineChart>
        <c:grouping val="standard"/>
        <c:varyColors val="0"/>
        <c:ser>
          <c:idx val="2"/>
          <c:order val="2"/>
          <c:tx>
            <c:strRef>
              <c:f>[三稿与态势分析报告匹配的表格.xlsx]Sheet1!$A$5</c:f>
              <c:strCache>
                <c:ptCount val="1"/>
                <c:pt idx="0">
                  <c:v>同比</c:v>
                </c:pt>
              </c:strCache>
            </c:strRef>
          </c:tx>
          <c:spPr>
            <a:ln w="28575" cap="rnd" cmpd="sng" algn="ctr">
              <a:solidFill>
                <a:srgbClr val="92D050"/>
              </a:solidFill>
              <a:prstDash val="solid"/>
              <a:round/>
            </a:ln>
            <a:effectLst/>
          </c:spPr>
          <c:marker>
            <c:symbol val="none"/>
          </c:marker>
          <c:cat>
            <c:strRef>
              <c:f>[三稿与态势分析报告匹配的表格.xlsx]Sheet1!$B$2:$E$2</c:f>
              <c:strCache>
                <c:ptCount val="4"/>
                <c:pt idx="0">
                  <c:v>旧存</c:v>
                </c:pt>
                <c:pt idx="1">
                  <c:v>新收</c:v>
                </c:pt>
                <c:pt idx="2">
                  <c:v>受理</c:v>
                </c:pt>
                <c:pt idx="3">
                  <c:v>审结</c:v>
                </c:pt>
              </c:strCache>
            </c:strRef>
          </c:cat>
          <c:val>
            <c:numRef>
              <c:f>[三稿与态势分析报告匹配的表格.xlsx]Sheet1!$B$5:$E$5</c:f>
              <c:numCache>
                <c:formatCode>0.00%</c:formatCode>
                <c:ptCount val="4"/>
                <c:pt idx="0">
                  <c:v>0.3553264604811</c:v>
                </c:pt>
                <c:pt idx="1">
                  <c:v>-6.9779924852388597E-2</c:v>
                </c:pt>
                <c:pt idx="2">
                  <c:v>-4.9210770659238602E-2</c:v>
                </c:pt>
                <c:pt idx="3">
                  <c:v>-4.1864993509303297E-2</c:v>
                </c:pt>
              </c:numCache>
            </c:numRef>
          </c:val>
          <c:smooth val="0"/>
        </c:ser>
        <c:dLbls>
          <c:showLegendKey val="0"/>
          <c:showVal val="0"/>
          <c:showCatName val="0"/>
          <c:showSerName val="0"/>
          <c:showPercent val="0"/>
          <c:showBubbleSize val="0"/>
        </c:dLbls>
        <c:marker val="1"/>
        <c:smooth val="0"/>
        <c:axId val="197030272"/>
        <c:axId val="197031808"/>
      </c:lineChart>
      <c:catAx>
        <c:axId val="2181578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18159744"/>
        <c:crosses val="autoZero"/>
        <c:auto val="1"/>
        <c:lblAlgn val="ctr"/>
        <c:lblOffset val="100"/>
        <c:noMultiLvlLbl val="0"/>
      </c:catAx>
      <c:valAx>
        <c:axId val="2181597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endParaRPr lang="zh-CN"/>
          </a:p>
        </c:txPr>
        <c:crossAx val="218157824"/>
        <c:crosses val="autoZero"/>
        <c:crossBetween val="between"/>
      </c:valAx>
      <c:catAx>
        <c:axId val="197030272"/>
        <c:scaling>
          <c:orientation val="minMax"/>
        </c:scaling>
        <c:delete val="1"/>
        <c:axPos val="b"/>
        <c:majorTickMark val="out"/>
        <c:minorTickMark val="none"/>
        <c:tickLblPos val="nextTo"/>
        <c:crossAx val="197031808"/>
        <c:crosses val="autoZero"/>
        <c:auto val="1"/>
        <c:lblAlgn val="ctr"/>
        <c:lblOffset val="100"/>
        <c:noMultiLvlLbl val="0"/>
      </c:catAx>
      <c:valAx>
        <c:axId val="197031808"/>
        <c:scaling>
          <c:orientation val="minMax"/>
        </c:scaling>
        <c:delete val="0"/>
        <c:axPos val="r"/>
        <c:numFmt formatCode="0.00%"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crossAx val="197030272"/>
        <c:crosses val="max"/>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clustered"/>
        <c:varyColors val="0"/>
        <c:ser>
          <c:idx val="0"/>
          <c:order val="0"/>
          <c:tx>
            <c:strRef>
              <c:f>[三稿与态势分析报告匹配的表格.xlsx]Sheet2!$B$3</c:f>
              <c:strCache>
                <c:ptCount val="1"/>
                <c:pt idx="0">
                  <c:v>2021年</c:v>
                </c:pt>
              </c:strCache>
            </c:strRef>
          </c:tx>
          <c:spPr>
            <a:solidFill>
              <a:schemeClr val="accent1"/>
            </a:solidFill>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cap="none" spc="0" normalizeH="0" baseline="0">
                    <a:solidFill>
                      <a:schemeClr val="tx1"/>
                    </a:solidFill>
                    <a:uFill>
                      <a:solidFill>
                        <a:schemeClr val="tx1"/>
                      </a:solidFill>
                    </a:u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[三稿与态势分析报告匹配的表格.xlsx]Sheet2!$A$4:$A$10</c:f>
              <c:strCache>
                <c:ptCount val="7"/>
                <c:pt idx="0">
                  <c:v>劳动合同、劳动争议纠纷</c:v>
                </c:pt>
                <c:pt idx="1">
                  <c:v>追索劳动报酬纠纷</c:v>
                </c:pt>
                <c:pt idx="2">
                  <c:v>经济补偿金纠纷</c:v>
                </c:pt>
                <c:pt idx="3">
                  <c:v>确认劳动关系</c:v>
                </c:pt>
                <c:pt idx="4">
                  <c:v> 工伤保险待遇纠纷</c:v>
                </c:pt>
                <c:pt idx="5">
                  <c:v>劳务派遣合同纠纷</c:v>
                </c:pt>
                <c:pt idx="6">
                  <c:v>其他</c:v>
                </c:pt>
              </c:strCache>
            </c:strRef>
          </c:cat>
          <c:val>
            <c:numRef>
              <c:f>[三稿与态势分析报告匹配的表格.xlsx]Sheet2!$B$4:$B$10</c:f>
              <c:numCache>
                <c:formatCode>0.00%</c:formatCode>
                <c:ptCount val="7"/>
                <c:pt idx="0">
                  <c:v>0.61299999999999999</c:v>
                </c:pt>
                <c:pt idx="1">
                  <c:v>0.1489</c:v>
                </c:pt>
                <c:pt idx="2">
                  <c:v>8.0100000000000005E-2</c:v>
                </c:pt>
                <c:pt idx="3">
                  <c:v>8.7900000000000006E-2</c:v>
                </c:pt>
                <c:pt idx="4">
                  <c:v>5.11E-2</c:v>
                </c:pt>
                <c:pt idx="5">
                  <c:v>5.0000000000000001E-3</c:v>
                </c:pt>
                <c:pt idx="6">
                  <c:v>1.3899999999999999E-2</c:v>
                </c:pt>
              </c:numCache>
            </c:numRef>
          </c:val>
        </c:ser>
        <c:ser>
          <c:idx val="1"/>
          <c:order val="1"/>
          <c:tx>
            <c:strRef>
              <c:f>[三稿与态势分析报告匹配的表格.xlsx]Sheet2!$C$3</c:f>
              <c:strCache>
                <c:ptCount val="1"/>
                <c:pt idx="0">
                  <c:v>2022年</c:v>
                </c:pt>
              </c:strCache>
            </c:strRef>
          </c:tx>
          <c:spPr>
            <a:solidFill>
              <a:schemeClr val="accent2"/>
            </a:solidFill>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cap="none" spc="0" normalizeH="0" baseline="0">
                    <a:solidFill>
                      <a:schemeClr val="tx1"/>
                    </a:solidFill>
                    <a:uFill>
                      <a:solidFill>
                        <a:schemeClr val="tx1"/>
                      </a:solidFill>
                    </a:u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[三稿与态势分析报告匹配的表格.xlsx]Sheet2!$A$4:$A$10</c:f>
              <c:strCache>
                <c:ptCount val="7"/>
                <c:pt idx="0">
                  <c:v>劳动合同、劳动争议纠纷</c:v>
                </c:pt>
                <c:pt idx="1">
                  <c:v>追索劳动报酬纠纷</c:v>
                </c:pt>
                <c:pt idx="2">
                  <c:v>经济补偿金纠纷</c:v>
                </c:pt>
                <c:pt idx="3">
                  <c:v>确认劳动关系</c:v>
                </c:pt>
                <c:pt idx="4">
                  <c:v> 工伤保险待遇纠纷</c:v>
                </c:pt>
                <c:pt idx="5">
                  <c:v>劳务派遣合同纠纷</c:v>
                </c:pt>
                <c:pt idx="6">
                  <c:v>其他</c:v>
                </c:pt>
              </c:strCache>
            </c:strRef>
          </c:cat>
          <c:val>
            <c:numRef>
              <c:f>[三稿与态势分析报告匹配的表格.xlsx]Sheet2!$C$4:$C$10</c:f>
              <c:numCache>
                <c:formatCode>0.00%</c:formatCode>
                <c:ptCount val="7"/>
                <c:pt idx="0">
                  <c:v>0.65329999999999999</c:v>
                </c:pt>
                <c:pt idx="1">
                  <c:v>0.1086</c:v>
                </c:pt>
                <c:pt idx="2">
                  <c:v>5.7299999999999997E-2</c:v>
                </c:pt>
                <c:pt idx="3">
                  <c:v>0.11119999999999999</c:v>
                </c:pt>
                <c:pt idx="4">
                  <c:v>3.6299999999999999E-2</c:v>
                </c:pt>
                <c:pt idx="5">
                  <c:v>1.4999999999999999E-2</c:v>
                </c:pt>
                <c:pt idx="6">
                  <c:v>1.83E-2</c:v>
                </c:pt>
              </c:numCache>
            </c:numRef>
          </c:val>
        </c:ser>
        <c:dLbls>
          <c:showLegendKey val="0"/>
          <c:showVal val="0"/>
          <c:showCatName val="0"/>
          <c:showSerName val="0"/>
          <c:showPercent val="0"/>
          <c:showBubbleSize val="0"/>
        </c:dLbls>
        <c:gapWidth val="150"/>
        <c:overlap val="-24"/>
        <c:axId val="217731456"/>
        <c:axId val="217732992"/>
      </c:barChart>
      <c:catAx>
        <c:axId val="217731456"/>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1" i="0" u="none" strike="noStrike" kern="1200" cap="none" spc="0" normalizeH="0" baseline="0">
                <a:solidFill>
                  <a:schemeClr val="tx1"/>
                </a:solidFill>
                <a:uFill>
                  <a:solidFill>
                    <a:schemeClr val="tx1"/>
                  </a:solidFill>
                </a:uFill>
                <a:latin typeface="+mn-lt"/>
                <a:ea typeface="+mn-ea"/>
                <a:cs typeface="+mn-cs"/>
              </a:defRPr>
            </a:pPr>
            <a:endParaRPr lang="zh-CN"/>
          </a:p>
        </c:txPr>
        <c:crossAx val="217732992"/>
        <c:crosses val="autoZero"/>
        <c:auto val="1"/>
        <c:lblAlgn val="ctr"/>
        <c:lblOffset val="100"/>
        <c:noMultiLvlLbl val="0"/>
      </c:catAx>
      <c:valAx>
        <c:axId val="217732992"/>
        <c:scaling>
          <c:orientation val="minMax"/>
        </c:scaling>
        <c:delete val="0"/>
        <c:axPos val="b"/>
        <c:numFmt formatCode="0.00%" sourceLinked="1"/>
        <c:majorTickMark val="out"/>
        <c:minorTickMark val="none"/>
        <c:tickLblPos val="nextTo"/>
        <c:txPr>
          <a:bodyPr rot="-60000000" spcFirstLastPara="0" vertOverflow="ellipsis" vert="horz" wrap="square" anchor="ctr" anchorCtr="1"/>
          <a:lstStyle/>
          <a:p>
            <a:pPr>
              <a:defRPr lang="zh-CN" sz="1000" b="1" i="0" u="none" strike="noStrike" kern="1200" cap="none" spc="0" normalizeH="0" baseline="0">
                <a:solidFill>
                  <a:schemeClr val="tx1"/>
                </a:solidFill>
                <a:uFill>
                  <a:solidFill>
                    <a:schemeClr val="tx1"/>
                  </a:solidFill>
                </a:uFill>
                <a:latin typeface="+mn-lt"/>
                <a:ea typeface="+mn-ea"/>
                <a:cs typeface="+mn-cs"/>
              </a:defRPr>
            </a:pPr>
            <a:endParaRPr lang="zh-CN"/>
          </a:p>
        </c:txPr>
        <c:crossAx val="217731456"/>
        <c:crosses val="autoZero"/>
        <c:crossBetween val="between"/>
      </c:valAx>
    </c:plotArea>
    <c:legend>
      <c:legendPos val="r"/>
      <c:legendEntry>
        <c:idx val="0"/>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solidFill>
                </a:uFill>
                <a:latin typeface="+mn-lt"/>
                <a:ea typeface="+mn-ea"/>
                <a:cs typeface="+mn-cs"/>
              </a:defRPr>
            </a:pPr>
            <a:endParaRPr lang="zh-CN"/>
          </a:p>
        </c:txPr>
      </c:legendEntry>
      <c:legendEntry>
        <c:idx val="1"/>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solidFill>
                </a:uFill>
                <a:latin typeface="+mn-lt"/>
                <a:ea typeface="+mn-ea"/>
                <a:cs typeface="+mn-cs"/>
              </a:defRPr>
            </a:pPr>
            <a:endParaRPr lang="zh-CN"/>
          </a:p>
        </c:txPr>
      </c:legendEntry>
      <c:layout>
        <c:manualLayout>
          <c:xMode val="edge"/>
          <c:yMode val="edge"/>
          <c:x val="0.65394298597975797"/>
          <c:y val="7.0266443196538797E-2"/>
          <c:w val="9.7830931510919594E-2"/>
          <c:h val="0.146858598799464"/>
        </c:manualLayout>
      </c:layout>
      <c:overlay val="0"/>
      <c:txPr>
        <a:bodyPr rot="0" spcFirstLastPara="0" vertOverflow="ellipsis" vert="horz" wrap="square" anchor="ctr" anchorCtr="1"/>
        <a:lstStyle/>
        <a:p>
          <a:pPr>
            <a:defRPr lang="zh-CN" sz="1000" b="1" i="0" u="none" strike="noStrike" kern="1200" cap="none" spc="0" normalizeH="0" baseline="0">
              <a:solidFill>
                <a:schemeClr val="tx1"/>
              </a:solidFill>
              <a:uFill>
                <a:solidFill>
                  <a:schemeClr val="tx1"/>
                </a:solidFill>
              </a:uFill>
              <a:latin typeface="+mn-lt"/>
              <a:ea typeface="+mn-ea"/>
              <a:cs typeface="+mn-cs"/>
            </a:defRPr>
          </a:pPr>
          <a:endParaRPr lang="zh-CN"/>
        </a:p>
      </c:txPr>
    </c:legend>
    <c:plotVisOnly val="1"/>
    <c:dispBlanksAs val="gap"/>
    <c:showDLblsOverMax val="0"/>
  </c:chart>
  <c:spPr>
    <a:ln w="6350" cap="flat" cmpd="sng" algn="ctr">
      <a:noFill/>
      <a:prstDash val="solid"/>
      <a:round/>
    </a:ln>
  </c:spPr>
  <c:txPr>
    <a:bodyPr/>
    <a:lstStyle/>
    <a:p>
      <a:pPr>
        <a:defRPr lang="zh-CN" b="1" u="none" strike="noStrike" kern="1200" cap="none" spc="0" normalizeH="0">
          <a:solidFill>
            <a:schemeClr val="tx1"/>
          </a:solidFill>
          <a:uFill>
            <a:solidFill>
              <a:schemeClr val="tx1"/>
            </a:solidFill>
          </a:uFill>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734C1-2DD3-4C9E-B6D0-4245661A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10</Pages>
  <Words>820</Words>
  <Characters>4680</Characters>
  <Application>Microsoft Office Word</Application>
  <DocSecurity>0</DocSecurity>
  <Lines>39</Lines>
  <Paragraphs>10</Paragraphs>
  <ScaleCrop>false</ScaleCrop>
  <Company>china</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梁田</dc:creator>
  <cp:lastModifiedBy>薛忠勋</cp:lastModifiedBy>
  <cp:revision>1162</cp:revision>
  <cp:lastPrinted>2023-02-14T08:18:00Z</cp:lastPrinted>
  <dcterms:created xsi:type="dcterms:W3CDTF">2023-01-07T02:52:00Z</dcterms:created>
  <dcterms:modified xsi:type="dcterms:W3CDTF">2023-02-21T02:48:00Z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19694E3DC60B431689F4E59B55941323</vt:lpwstr>
  </property>
</Properties>
</file>