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55987" w:rsidRPr="00F63A03" w:rsidRDefault="002A292E" w:rsidP="00810E64">
      <w:pPr>
        <w:widowControl/>
        <w:spacing w:line="600" w:lineRule="exact"/>
        <w:ind w:firstLineChars="45" w:firstLine="198"/>
        <w:jc w:val="center"/>
        <w:rPr>
          <w:rFonts w:ascii="黑体" w:eastAsia="黑体" w:hAnsi="黑体"/>
          <w:bCs/>
          <w:sz w:val="44"/>
          <w:szCs w:val="44"/>
        </w:rPr>
      </w:pPr>
      <w:bookmarkStart w:id="0" w:name="_GoBack"/>
      <w:bookmarkEnd w:id="0"/>
      <w:r w:rsidRPr="00F63A03">
        <w:rPr>
          <w:rFonts w:ascii="黑体" w:eastAsia="黑体" w:hAnsi="黑体" w:hint="eastAsia"/>
          <w:bCs/>
          <w:sz w:val="44"/>
          <w:szCs w:val="44"/>
        </w:rPr>
        <w:t>苏 州 市 中 级 人 民 法 院</w:t>
      </w:r>
    </w:p>
    <w:p w:rsidR="00955987" w:rsidRPr="00F63A03" w:rsidRDefault="002A292E" w:rsidP="00810E64">
      <w:pPr>
        <w:widowControl/>
        <w:spacing w:line="600" w:lineRule="exact"/>
        <w:ind w:firstLineChars="45" w:firstLine="198"/>
        <w:jc w:val="center"/>
        <w:rPr>
          <w:rFonts w:ascii="黑体" w:eastAsia="黑体" w:hAnsi="黑体"/>
          <w:bCs/>
          <w:sz w:val="44"/>
          <w:szCs w:val="44"/>
        </w:rPr>
      </w:pPr>
      <w:r w:rsidRPr="00F63A03">
        <w:rPr>
          <w:rFonts w:ascii="黑体" w:eastAsia="黑体" w:hAnsi="黑体" w:hint="eastAsia"/>
          <w:bCs/>
          <w:sz w:val="44"/>
          <w:szCs w:val="44"/>
        </w:rPr>
        <w:t>房地产审判工作报告（20</w:t>
      </w:r>
      <w:r w:rsidR="00C43EDB">
        <w:rPr>
          <w:rFonts w:ascii="黑体" w:eastAsia="黑体" w:hAnsi="黑体" w:hint="eastAsia"/>
          <w:bCs/>
          <w:sz w:val="44"/>
          <w:szCs w:val="44"/>
        </w:rPr>
        <w:t>22</w:t>
      </w:r>
      <w:r w:rsidRPr="00F63A03">
        <w:rPr>
          <w:rFonts w:ascii="黑体" w:eastAsia="黑体" w:hAnsi="黑体" w:hint="eastAsia"/>
          <w:bCs/>
          <w:sz w:val="44"/>
          <w:szCs w:val="44"/>
        </w:rPr>
        <w:t>）</w:t>
      </w:r>
    </w:p>
    <w:p w:rsidR="00955987" w:rsidRPr="00F63A03" w:rsidRDefault="00955987" w:rsidP="00810E64">
      <w:pPr>
        <w:spacing w:line="600" w:lineRule="exact"/>
        <w:ind w:firstLine="640"/>
        <w:rPr>
          <w:rFonts w:ascii="仿宋" w:hAnsi="仿宋" w:cs="仿宋"/>
          <w:szCs w:val="32"/>
        </w:rPr>
      </w:pPr>
    </w:p>
    <w:p w:rsidR="000D1F06" w:rsidRDefault="000D1F06" w:rsidP="00C43EDB">
      <w:pPr>
        <w:ind w:firstLine="640"/>
        <w:rPr>
          <w:rFonts w:ascii="仿宋" w:hAnsi="仿宋" w:cs="仿宋"/>
          <w:szCs w:val="32"/>
        </w:rPr>
      </w:pPr>
      <w:bookmarkStart w:id="1" w:name="_Toc66117630"/>
      <w:bookmarkStart w:id="2" w:name="_Toc63846543"/>
      <w:r w:rsidRPr="000D1F06">
        <w:rPr>
          <w:rFonts w:ascii="仿宋" w:hAnsi="仿宋" w:cs="仿宋" w:hint="eastAsia"/>
          <w:szCs w:val="32"/>
        </w:rPr>
        <w:t>房地产一头连着经济发展，一头连着千家万户。房地产市场平稳健康发展事关人民群众切身利益和国家经济社会发展大局。2022年，全市法院立足审判职能，紧紧围绕“保交楼、保民生、保稳定”重要工作任务，积极采取各项司法措施防范和化解房地产市场风险，切实发挥法治固根本、稳预期、利长远的保障作用，促进房地产市场平稳健康发展。</w:t>
      </w:r>
    </w:p>
    <w:bookmarkEnd w:id="1"/>
    <w:bookmarkEnd w:id="2"/>
    <w:p w:rsidR="00C43EDB" w:rsidRPr="007954DB" w:rsidRDefault="00C43EDB" w:rsidP="00C43EDB">
      <w:pPr>
        <w:ind w:firstLine="640"/>
        <w:rPr>
          <w:rFonts w:ascii="黑体" w:eastAsia="黑体" w:hAnsi="黑体"/>
          <w:szCs w:val="32"/>
        </w:rPr>
      </w:pPr>
      <w:r w:rsidRPr="007954DB">
        <w:rPr>
          <w:rFonts w:ascii="黑体" w:eastAsia="黑体" w:hAnsi="黑体" w:hint="eastAsia"/>
          <w:szCs w:val="32"/>
        </w:rPr>
        <w:t>一、房地产案件基本情况</w:t>
      </w:r>
    </w:p>
    <w:p w:rsidR="00C43EDB" w:rsidRPr="005F15DB" w:rsidRDefault="00C43EDB" w:rsidP="005F15DB">
      <w:pPr>
        <w:ind w:firstLine="640"/>
        <w:rPr>
          <w:rFonts w:ascii="楷体" w:eastAsia="楷体" w:hAnsi="楷体"/>
          <w:szCs w:val="32"/>
        </w:rPr>
      </w:pPr>
      <w:r w:rsidRPr="007954DB">
        <w:rPr>
          <w:rFonts w:ascii="楷体" w:eastAsia="楷体" w:hAnsi="楷体" w:hint="eastAsia"/>
          <w:szCs w:val="32"/>
        </w:rPr>
        <w:t>1.</w:t>
      </w:r>
      <w:r w:rsidR="00461242">
        <w:rPr>
          <w:rFonts w:ascii="楷体" w:eastAsia="楷体" w:hAnsi="楷体" w:hint="eastAsia"/>
          <w:szCs w:val="32"/>
        </w:rPr>
        <w:t>收结案情况</w:t>
      </w:r>
      <w:r w:rsidR="005F15DB">
        <w:rPr>
          <w:rFonts w:ascii="楷体" w:eastAsia="楷体" w:hAnsi="楷体" w:hint="eastAsia"/>
          <w:szCs w:val="32"/>
        </w:rPr>
        <w:t>。</w:t>
      </w:r>
      <w:r w:rsidRPr="007954DB">
        <w:rPr>
          <w:rFonts w:ascii="仿宋" w:hAnsi="仿宋" w:hint="eastAsia"/>
          <w:szCs w:val="32"/>
        </w:rPr>
        <w:t>2022年，全市法院新收房地产案件21462件，占同期全市新收民商事案件总数的13.56%。其中，新收一审案件19161件，新收二审案件2295件。</w:t>
      </w:r>
      <w:r w:rsidRPr="000D1F06">
        <w:rPr>
          <w:rFonts w:ascii="仿宋" w:hAnsi="仿宋" w:hint="eastAsia"/>
          <w:szCs w:val="32"/>
        </w:rPr>
        <w:t>收案数</w:t>
      </w:r>
      <w:r w:rsidR="008330AC" w:rsidRPr="0062348A">
        <w:rPr>
          <w:rFonts w:ascii="仿宋" w:hAnsi="仿宋" w:hint="eastAsia"/>
          <w:szCs w:val="32"/>
        </w:rPr>
        <w:t>同比</w:t>
      </w:r>
      <w:r w:rsidRPr="008330AC">
        <w:rPr>
          <w:rFonts w:ascii="仿宋" w:hAnsi="仿宋" w:hint="eastAsia"/>
          <w:szCs w:val="32"/>
        </w:rPr>
        <w:t>减少</w:t>
      </w:r>
      <w:r w:rsidRPr="000D1F06">
        <w:rPr>
          <w:rFonts w:ascii="仿宋" w:hAnsi="仿宋" w:hint="eastAsia"/>
          <w:szCs w:val="32"/>
        </w:rPr>
        <w:t>5321件，下降</w:t>
      </w:r>
      <w:r w:rsidRPr="008330AC">
        <w:rPr>
          <w:rFonts w:ascii="仿宋" w:hAnsi="仿宋"/>
          <w:szCs w:val="32"/>
        </w:rPr>
        <w:t>19.87%。</w:t>
      </w:r>
      <w:r w:rsidRPr="007954DB">
        <w:rPr>
          <w:rFonts w:ascii="仿宋" w:hAnsi="仿宋" w:hint="eastAsia"/>
          <w:szCs w:val="32"/>
        </w:rPr>
        <w:t>共审结房地产案件22521件，占同期全市审结民商事案件总数的13.59%，结收案比为104.93%。</w:t>
      </w:r>
      <w:r w:rsidR="008330AC">
        <w:rPr>
          <w:rFonts w:ascii="仿宋" w:hAnsi="仿宋" w:hint="eastAsia"/>
          <w:szCs w:val="32"/>
        </w:rPr>
        <w:t>结案数同比减少</w:t>
      </w:r>
      <w:r w:rsidRPr="007954DB">
        <w:rPr>
          <w:rFonts w:ascii="仿宋" w:hAnsi="仿宋" w:hint="eastAsia"/>
          <w:szCs w:val="32"/>
        </w:rPr>
        <w:t>3576件，下降13.70</w:t>
      </w:r>
      <w:r w:rsidRPr="007954DB">
        <w:rPr>
          <w:rFonts w:ascii="仿宋" w:hAnsi="仿宋"/>
          <w:szCs w:val="32"/>
        </w:rPr>
        <w:t>%</w:t>
      </w:r>
      <w:r w:rsidR="00F53582">
        <w:rPr>
          <w:rFonts w:ascii="仿宋" w:hAnsi="仿宋" w:hint="eastAsia"/>
          <w:szCs w:val="32"/>
        </w:rPr>
        <w:t>（见图1）</w:t>
      </w:r>
      <w:r w:rsidRPr="007954DB">
        <w:rPr>
          <w:rFonts w:ascii="仿宋" w:hAnsi="仿宋" w:hint="eastAsia"/>
          <w:szCs w:val="32"/>
        </w:rPr>
        <w:t>。</w:t>
      </w:r>
    </w:p>
    <w:p w:rsidR="00772F4C" w:rsidRPr="003A0F25" w:rsidRDefault="00C93CAB" w:rsidP="00F53582">
      <w:pPr>
        <w:ind w:firstLineChars="0" w:firstLine="0"/>
        <w:jc w:val="center"/>
        <w:rPr>
          <w:rFonts w:ascii="楷体" w:eastAsia="楷体" w:hAnsi="楷体"/>
          <w:szCs w:val="32"/>
        </w:rPr>
      </w:pPr>
      <w:r>
        <w:rPr>
          <w:rFonts w:ascii="楷体" w:eastAsia="楷体" w:hAnsi="楷体" w:hint="eastAsia"/>
          <w:szCs w:val="32"/>
        </w:rPr>
        <w:t>图</w:t>
      </w:r>
      <w:r w:rsidR="00772F4C" w:rsidRPr="003A0F25">
        <w:rPr>
          <w:rFonts w:ascii="楷体" w:eastAsia="楷体" w:hAnsi="楷体" w:hint="eastAsia"/>
          <w:szCs w:val="32"/>
        </w:rPr>
        <w:t>1：全市法院</w:t>
      </w:r>
      <w:r w:rsidR="00F46AC2" w:rsidRPr="003A0F25">
        <w:rPr>
          <w:rFonts w:ascii="楷体" w:eastAsia="楷体" w:hAnsi="楷体" w:hint="eastAsia"/>
          <w:szCs w:val="32"/>
        </w:rPr>
        <w:t>2017-2022</w:t>
      </w:r>
      <w:r w:rsidR="00F46AC2">
        <w:rPr>
          <w:rFonts w:ascii="楷体" w:eastAsia="楷体" w:hAnsi="楷体" w:hint="eastAsia"/>
          <w:szCs w:val="32"/>
        </w:rPr>
        <w:t>年</w:t>
      </w:r>
      <w:r w:rsidR="00772F4C" w:rsidRPr="003A0F25">
        <w:rPr>
          <w:rFonts w:ascii="楷体" w:eastAsia="楷体" w:hAnsi="楷体" w:hint="eastAsia"/>
          <w:szCs w:val="32"/>
        </w:rPr>
        <w:t>房地产案</w:t>
      </w:r>
      <w:r w:rsidR="00F46AC2">
        <w:rPr>
          <w:rFonts w:ascii="楷体" w:eastAsia="楷体" w:hAnsi="楷体" w:hint="eastAsia"/>
          <w:szCs w:val="32"/>
        </w:rPr>
        <w:t>件</w:t>
      </w:r>
      <w:r w:rsidR="00772F4C" w:rsidRPr="003A0F25">
        <w:rPr>
          <w:rFonts w:ascii="楷体" w:eastAsia="楷体" w:hAnsi="楷体" w:hint="eastAsia"/>
          <w:szCs w:val="32"/>
        </w:rPr>
        <w:t>收结案数</w:t>
      </w:r>
      <w:r w:rsidR="00F46AC2">
        <w:rPr>
          <w:rFonts w:ascii="楷体" w:eastAsia="楷体" w:hAnsi="楷体" w:hint="eastAsia"/>
          <w:szCs w:val="32"/>
        </w:rPr>
        <w:t>（单位：件）</w:t>
      </w:r>
    </w:p>
    <w:p w:rsidR="00C43EDB" w:rsidRPr="00E30EAD" w:rsidRDefault="00C43EDB" w:rsidP="00E91835">
      <w:pPr>
        <w:ind w:firstLine="480"/>
        <w:jc w:val="center"/>
        <w:rPr>
          <w:rFonts w:ascii="楷体" w:eastAsia="楷体" w:hAnsi="楷体"/>
          <w:sz w:val="24"/>
          <w:szCs w:val="24"/>
        </w:rPr>
      </w:pPr>
      <w:r w:rsidRPr="00E30EAD">
        <w:rPr>
          <w:rFonts w:ascii="楷体" w:eastAsia="楷体" w:hAnsi="楷体"/>
          <w:noProof/>
          <w:sz w:val="24"/>
          <w:szCs w:val="24"/>
        </w:rPr>
        <w:lastRenderedPageBreak/>
        <w:drawing>
          <wp:anchor distT="0" distB="0" distL="114300" distR="114300" simplePos="0" relativeHeight="251658240" behindDoc="0" locked="0" layoutInCell="1" allowOverlap="1" wp14:anchorId="04BB2FF1" wp14:editId="1C2AF1D1">
            <wp:simplePos x="0" y="0"/>
            <wp:positionH relativeFrom="column">
              <wp:posOffset>337820</wp:posOffset>
            </wp:positionH>
            <wp:positionV relativeFrom="paragraph">
              <wp:posOffset>-234950</wp:posOffset>
            </wp:positionV>
            <wp:extent cx="5080635" cy="2277110"/>
            <wp:effectExtent l="0" t="0" r="24765" b="27940"/>
            <wp:wrapTopAndBottom/>
            <wp:docPr id="2" name="图表 2" titl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43EDB" w:rsidRPr="005F15DB" w:rsidRDefault="00C43EDB" w:rsidP="005F15DB">
      <w:pPr>
        <w:ind w:firstLine="640"/>
        <w:rPr>
          <w:rFonts w:ascii="楷体" w:eastAsia="楷体" w:hAnsi="楷体"/>
          <w:szCs w:val="32"/>
        </w:rPr>
      </w:pPr>
      <w:r>
        <w:rPr>
          <w:rFonts w:ascii="楷体" w:eastAsia="楷体" w:hAnsi="楷体" w:hint="eastAsia"/>
          <w:szCs w:val="32"/>
        </w:rPr>
        <w:t>2.案件类型分布</w:t>
      </w:r>
      <w:r w:rsidR="00897F7C">
        <w:rPr>
          <w:rFonts w:ascii="楷体" w:eastAsia="楷体" w:hAnsi="楷体" w:hint="eastAsia"/>
          <w:szCs w:val="32"/>
        </w:rPr>
        <w:t>情况</w:t>
      </w:r>
      <w:r w:rsidR="005F15DB">
        <w:rPr>
          <w:rFonts w:ascii="楷体" w:eastAsia="楷体" w:hAnsi="楷体" w:hint="eastAsia"/>
          <w:szCs w:val="32"/>
        </w:rPr>
        <w:t>。</w:t>
      </w:r>
      <w:r>
        <w:rPr>
          <w:rFonts w:ascii="仿宋" w:hAnsi="仿宋" w:hint="eastAsia"/>
          <w:szCs w:val="32"/>
        </w:rPr>
        <w:t>2022</w:t>
      </w:r>
      <w:r w:rsidRPr="007954DB">
        <w:rPr>
          <w:rFonts w:ascii="仿宋" w:hAnsi="仿宋" w:hint="eastAsia"/>
          <w:szCs w:val="32"/>
        </w:rPr>
        <w:t>年全市法院新收房地产案件中，租赁合同纠纷案件数量最多，建设用地使用权纠纷案件数量最少。</w:t>
      </w:r>
      <w:r>
        <w:rPr>
          <w:rFonts w:ascii="仿宋" w:hAnsi="仿宋" w:hint="eastAsia"/>
          <w:szCs w:val="32"/>
        </w:rPr>
        <w:t>具体情况为，</w:t>
      </w:r>
      <w:r w:rsidRPr="007954DB">
        <w:rPr>
          <w:rFonts w:ascii="仿宋" w:hAnsi="仿宋" w:hint="eastAsia"/>
          <w:szCs w:val="32"/>
        </w:rPr>
        <w:t>租赁合同纠纷案件6847件，占比31.</w:t>
      </w:r>
      <w:r>
        <w:rPr>
          <w:rFonts w:ascii="仿宋" w:hAnsi="仿宋" w:hint="eastAsia"/>
          <w:szCs w:val="32"/>
        </w:rPr>
        <w:t>90</w:t>
      </w:r>
      <w:r w:rsidRPr="007954DB">
        <w:rPr>
          <w:rFonts w:ascii="仿宋" w:hAnsi="仿宋" w:hint="eastAsia"/>
          <w:szCs w:val="32"/>
        </w:rPr>
        <w:t>%；</w:t>
      </w:r>
      <w:r w:rsidR="008439A1" w:rsidRPr="007954DB">
        <w:rPr>
          <w:rFonts w:ascii="仿宋" w:hAnsi="仿宋" w:hint="eastAsia"/>
          <w:szCs w:val="32"/>
        </w:rPr>
        <w:t>建设工程合同纠纷案件</w:t>
      </w:r>
      <w:r w:rsidR="008439A1">
        <w:rPr>
          <w:rFonts w:ascii="仿宋" w:hAnsi="仿宋" w:hint="eastAsia"/>
          <w:szCs w:val="32"/>
        </w:rPr>
        <w:t>5435</w:t>
      </w:r>
      <w:r w:rsidR="008439A1" w:rsidRPr="007954DB">
        <w:rPr>
          <w:rFonts w:ascii="仿宋" w:hAnsi="仿宋" w:hint="eastAsia"/>
          <w:szCs w:val="32"/>
        </w:rPr>
        <w:t>件，占比</w:t>
      </w:r>
      <w:r w:rsidR="008439A1">
        <w:rPr>
          <w:rFonts w:ascii="仿宋" w:hAnsi="仿宋" w:hint="eastAsia"/>
          <w:szCs w:val="32"/>
        </w:rPr>
        <w:t>25.32</w:t>
      </w:r>
      <w:r w:rsidR="008439A1" w:rsidRPr="007954DB">
        <w:rPr>
          <w:rFonts w:ascii="仿宋" w:hAnsi="仿宋" w:hint="eastAsia"/>
          <w:szCs w:val="32"/>
        </w:rPr>
        <w:t>%；房屋买卖合同纠纷案件</w:t>
      </w:r>
      <w:r w:rsidR="008439A1">
        <w:rPr>
          <w:rFonts w:ascii="仿宋" w:hAnsi="仿宋" w:hint="eastAsia"/>
          <w:szCs w:val="32"/>
        </w:rPr>
        <w:t>4593</w:t>
      </w:r>
      <w:r w:rsidR="008439A1" w:rsidRPr="007954DB">
        <w:rPr>
          <w:rFonts w:ascii="仿宋" w:hAnsi="仿宋" w:hint="eastAsia"/>
          <w:szCs w:val="32"/>
        </w:rPr>
        <w:t>件，占比</w:t>
      </w:r>
      <w:r w:rsidR="008439A1">
        <w:rPr>
          <w:rFonts w:ascii="仿宋" w:hAnsi="仿宋" w:hint="eastAsia"/>
          <w:szCs w:val="32"/>
        </w:rPr>
        <w:t>21.40</w:t>
      </w:r>
      <w:r w:rsidR="008439A1" w:rsidRPr="007954DB">
        <w:rPr>
          <w:rFonts w:ascii="仿宋" w:hAnsi="仿宋" w:hint="eastAsia"/>
          <w:szCs w:val="32"/>
        </w:rPr>
        <w:t>%；</w:t>
      </w:r>
      <w:r w:rsidRPr="007954DB">
        <w:rPr>
          <w:rFonts w:ascii="仿宋" w:hAnsi="仿宋" w:hint="eastAsia"/>
          <w:szCs w:val="32"/>
        </w:rPr>
        <w:t>物业服务合同纠纷案件</w:t>
      </w:r>
      <w:r>
        <w:rPr>
          <w:rFonts w:ascii="仿宋" w:hAnsi="仿宋" w:hint="eastAsia"/>
          <w:szCs w:val="32"/>
        </w:rPr>
        <w:t>4577</w:t>
      </w:r>
      <w:r w:rsidRPr="007954DB">
        <w:rPr>
          <w:rFonts w:ascii="仿宋" w:hAnsi="仿宋" w:hint="eastAsia"/>
          <w:szCs w:val="32"/>
        </w:rPr>
        <w:t>件，占比</w:t>
      </w:r>
      <w:r>
        <w:rPr>
          <w:rFonts w:ascii="仿宋" w:hAnsi="仿宋" w:hint="eastAsia"/>
          <w:szCs w:val="32"/>
        </w:rPr>
        <w:t>21.33</w:t>
      </w:r>
      <w:r w:rsidRPr="007954DB">
        <w:rPr>
          <w:rFonts w:ascii="仿宋" w:hAnsi="仿宋" w:hint="eastAsia"/>
          <w:szCs w:val="32"/>
        </w:rPr>
        <w:t>%；建设用地使用权纠纷案件</w:t>
      </w:r>
      <w:r>
        <w:rPr>
          <w:rFonts w:ascii="仿宋" w:hAnsi="仿宋" w:hint="eastAsia"/>
          <w:szCs w:val="32"/>
        </w:rPr>
        <w:t>10</w:t>
      </w:r>
      <w:r w:rsidRPr="007954DB">
        <w:rPr>
          <w:rFonts w:ascii="仿宋" w:hAnsi="仿宋" w:hint="eastAsia"/>
          <w:szCs w:val="32"/>
        </w:rPr>
        <w:t>件，占比0.05%。</w:t>
      </w:r>
      <w:r w:rsidRPr="00F65BAF">
        <w:rPr>
          <w:rFonts w:ascii="仿宋" w:hAnsi="仿宋" w:hint="eastAsia"/>
          <w:szCs w:val="32"/>
        </w:rPr>
        <w:t>与</w:t>
      </w:r>
      <w:r>
        <w:rPr>
          <w:rFonts w:ascii="仿宋" w:hAnsi="仿宋" w:hint="eastAsia"/>
          <w:szCs w:val="32"/>
        </w:rPr>
        <w:t>2021</w:t>
      </w:r>
      <w:r w:rsidRPr="00F65BAF">
        <w:rPr>
          <w:rFonts w:ascii="仿宋" w:hAnsi="仿宋" w:hint="eastAsia"/>
          <w:szCs w:val="32"/>
        </w:rPr>
        <w:t>年相比，</w:t>
      </w:r>
      <w:r>
        <w:rPr>
          <w:rFonts w:ascii="仿宋" w:hAnsi="仿宋" w:hint="eastAsia"/>
          <w:szCs w:val="32"/>
        </w:rPr>
        <w:t>建设工程</w:t>
      </w:r>
      <w:r w:rsidRPr="00F65BAF">
        <w:rPr>
          <w:rFonts w:ascii="仿宋" w:hAnsi="仿宋" w:hint="eastAsia"/>
          <w:szCs w:val="32"/>
        </w:rPr>
        <w:t>合同纠纷</w:t>
      </w:r>
      <w:r>
        <w:rPr>
          <w:rFonts w:ascii="仿宋" w:hAnsi="仿宋" w:hint="eastAsia"/>
          <w:szCs w:val="32"/>
        </w:rPr>
        <w:t>案件新收数量有所增长，</w:t>
      </w:r>
      <w:r w:rsidRPr="00F65BAF">
        <w:rPr>
          <w:rFonts w:ascii="仿宋" w:hAnsi="仿宋" w:hint="eastAsia"/>
          <w:szCs w:val="32"/>
        </w:rPr>
        <w:t>租赁合同纠纷案件、物业服务合同纠纷案件</w:t>
      </w:r>
      <w:r>
        <w:rPr>
          <w:rFonts w:ascii="仿宋" w:hAnsi="仿宋" w:hint="eastAsia"/>
          <w:szCs w:val="32"/>
        </w:rPr>
        <w:t>、</w:t>
      </w:r>
      <w:r w:rsidRPr="00F65BAF">
        <w:rPr>
          <w:rFonts w:ascii="仿宋" w:hAnsi="仿宋" w:hint="eastAsia"/>
          <w:szCs w:val="32"/>
        </w:rPr>
        <w:t>房屋买卖合同纠纷案件</w:t>
      </w:r>
      <w:r>
        <w:rPr>
          <w:rFonts w:ascii="仿宋" w:hAnsi="仿宋" w:hint="eastAsia"/>
          <w:szCs w:val="32"/>
        </w:rPr>
        <w:t>新收数量</w:t>
      </w:r>
      <w:r w:rsidR="008439A1">
        <w:rPr>
          <w:rFonts w:ascii="仿宋" w:hAnsi="仿宋" w:hint="eastAsia"/>
          <w:szCs w:val="32"/>
        </w:rPr>
        <w:t>均</w:t>
      </w:r>
      <w:r>
        <w:rPr>
          <w:rFonts w:ascii="仿宋" w:hAnsi="仿宋" w:hint="eastAsia"/>
          <w:szCs w:val="32"/>
        </w:rPr>
        <w:t>有所下降。具体而言，建设工程</w:t>
      </w:r>
      <w:r w:rsidRPr="00F65BAF">
        <w:rPr>
          <w:rFonts w:ascii="仿宋" w:hAnsi="仿宋" w:hint="eastAsia"/>
          <w:szCs w:val="32"/>
        </w:rPr>
        <w:t>合同纠纷</w:t>
      </w:r>
      <w:r>
        <w:rPr>
          <w:rFonts w:ascii="仿宋" w:hAnsi="仿宋" w:hint="eastAsia"/>
          <w:szCs w:val="32"/>
        </w:rPr>
        <w:t>案件新收数量持续增长，</w:t>
      </w:r>
      <w:r w:rsidRPr="0062348A">
        <w:rPr>
          <w:rFonts w:ascii="仿宋" w:hAnsi="仿宋"/>
          <w:szCs w:val="32"/>
        </w:rPr>
        <w:t>2022年创历史新高，</w:t>
      </w:r>
      <w:r>
        <w:rPr>
          <w:rFonts w:ascii="仿宋" w:hAnsi="仿宋" w:hint="eastAsia"/>
          <w:szCs w:val="32"/>
        </w:rPr>
        <w:t>达5435件，同比增长6.65%，案件数量从2021年的第四位上升至第二位。租赁合同纠纷案件新收数量虽下降幅度较大，同比下降19.69%，但仍稳居首位。物业服务合同纠纷案件和房屋买卖合同纠纷案件新收数量同比分别下降23.20%、30.81%，降幅较大</w:t>
      </w:r>
      <w:r w:rsidR="00F53582">
        <w:rPr>
          <w:rFonts w:ascii="仿宋" w:hAnsi="仿宋" w:hint="eastAsia"/>
          <w:szCs w:val="32"/>
        </w:rPr>
        <w:t>（见图2）</w:t>
      </w:r>
      <w:r>
        <w:rPr>
          <w:rFonts w:ascii="仿宋" w:hAnsi="仿宋" w:hint="eastAsia"/>
          <w:szCs w:val="32"/>
        </w:rPr>
        <w:t>。</w:t>
      </w:r>
    </w:p>
    <w:p w:rsidR="00E30EAD" w:rsidRPr="00E91835" w:rsidRDefault="00440CA1" w:rsidP="00F53582">
      <w:pPr>
        <w:ind w:firstLineChars="0" w:firstLine="0"/>
        <w:jc w:val="center"/>
        <w:rPr>
          <w:rFonts w:ascii="楷体" w:eastAsia="楷体" w:hAnsi="楷体"/>
          <w:szCs w:val="32"/>
        </w:rPr>
      </w:pPr>
      <w:r>
        <w:rPr>
          <w:rFonts w:ascii="楷体" w:eastAsia="楷体" w:hAnsi="楷体" w:hint="eastAsia"/>
          <w:sz w:val="28"/>
          <w:szCs w:val="28"/>
        </w:rPr>
        <w:t>图</w:t>
      </w:r>
      <w:r w:rsidR="00E30EAD" w:rsidRPr="00A11AB5">
        <w:rPr>
          <w:rFonts w:ascii="楷体" w:eastAsia="楷体" w:hAnsi="楷体" w:hint="eastAsia"/>
          <w:sz w:val="28"/>
          <w:szCs w:val="28"/>
        </w:rPr>
        <w:t>2：全市法院</w:t>
      </w:r>
      <w:r w:rsidR="00E91835" w:rsidRPr="00A11AB5">
        <w:rPr>
          <w:rFonts w:ascii="楷体" w:eastAsia="楷体" w:hAnsi="楷体" w:hint="eastAsia"/>
          <w:sz w:val="28"/>
          <w:szCs w:val="28"/>
        </w:rPr>
        <w:t>2017-2022年</w:t>
      </w:r>
      <w:r w:rsidR="00F44EFE" w:rsidRPr="00A11AB5">
        <w:rPr>
          <w:rFonts w:ascii="楷体" w:eastAsia="楷体" w:hAnsi="楷体" w:hint="eastAsia"/>
          <w:sz w:val="28"/>
          <w:szCs w:val="28"/>
        </w:rPr>
        <w:t>新收各类</w:t>
      </w:r>
      <w:r w:rsidR="00A11AB5" w:rsidRPr="00A11AB5">
        <w:rPr>
          <w:rFonts w:ascii="楷体" w:eastAsia="楷体" w:hAnsi="楷体" w:hint="eastAsia"/>
          <w:sz w:val="28"/>
          <w:szCs w:val="28"/>
        </w:rPr>
        <w:t>房地产</w:t>
      </w:r>
      <w:r w:rsidR="00E91835" w:rsidRPr="00A11AB5">
        <w:rPr>
          <w:rFonts w:ascii="楷体" w:eastAsia="楷体" w:hAnsi="楷体" w:hint="eastAsia"/>
          <w:sz w:val="28"/>
          <w:szCs w:val="28"/>
        </w:rPr>
        <w:t>案件变化情况（单位：</w:t>
      </w:r>
      <w:r w:rsidR="00E91835" w:rsidRPr="009D3802">
        <w:rPr>
          <w:rFonts w:ascii="楷体" w:eastAsia="楷体" w:hAnsi="楷体" w:hint="eastAsia"/>
          <w:sz w:val="30"/>
          <w:szCs w:val="30"/>
        </w:rPr>
        <w:t>件）</w:t>
      </w:r>
    </w:p>
    <w:p w:rsidR="00C43EDB" w:rsidRPr="007954DB" w:rsidRDefault="00E36C27" w:rsidP="00C43EDB">
      <w:pPr>
        <w:ind w:firstLine="640"/>
        <w:rPr>
          <w:rFonts w:ascii="仿宋" w:hAnsi="仿宋"/>
          <w:szCs w:val="32"/>
        </w:rPr>
      </w:pPr>
      <w:r>
        <w:rPr>
          <w:noProof/>
        </w:rPr>
        <w:lastRenderedPageBreak/>
        <w:drawing>
          <wp:anchor distT="0" distB="0" distL="114300" distR="114300" simplePos="0" relativeHeight="251659264" behindDoc="0" locked="0" layoutInCell="1" allowOverlap="1" wp14:anchorId="71D65088" wp14:editId="45DC6120">
            <wp:simplePos x="0" y="0"/>
            <wp:positionH relativeFrom="column">
              <wp:posOffset>347345</wp:posOffset>
            </wp:positionH>
            <wp:positionV relativeFrom="paragraph">
              <wp:posOffset>-335280</wp:posOffset>
            </wp:positionV>
            <wp:extent cx="5321935" cy="3761105"/>
            <wp:effectExtent l="0" t="0" r="12065" b="107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43EDB" w:rsidRPr="005F15DB" w:rsidRDefault="00C43EDB" w:rsidP="005F15DB">
      <w:pPr>
        <w:ind w:firstLine="640"/>
        <w:rPr>
          <w:rFonts w:ascii="楷体" w:eastAsia="楷体" w:hAnsi="楷体"/>
          <w:szCs w:val="32"/>
        </w:rPr>
      </w:pPr>
      <w:r>
        <w:rPr>
          <w:rFonts w:ascii="楷体" w:eastAsia="楷体" w:hAnsi="楷体" w:hint="eastAsia"/>
          <w:szCs w:val="32"/>
        </w:rPr>
        <w:t>3.案件地区分布</w:t>
      </w:r>
      <w:r w:rsidR="00F625F7">
        <w:rPr>
          <w:rFonts w:ascii="楷体" w:eastAsia="楷体" w:hAnsi="楷体" w:hint="eastAsia"/>
          <w:szCs w:val="32"/>
        </w:rPr>
        <w:t>情况</w:t>
      </w:r>
      <w:r w:rsidR="005F15DB">
        <w:rPr>
          <w:rFonts w:ascii="楷体" w:eastAsia="楷体" w:hAnsi="楷体" w:hint="eastAsia"/>
          <w:szCs w:val="32"/>
        </w:rPr>
        <w:t>。</w:t>
      </w:r>
      <w:r>
        <w:rPr>
          <w:rFonts w:ascii="仿宋" w:hAnsi="仿宋"/>
          <w:szCs w:val="32"/>
        </w:rPr>
        <w:t>202</w:t>
      </w:r>
      <w:r>
        <w:rPr>
          <w:rFonts w:ascii="仿宋" w:hAnsi="仿宋" w:hint="eastAsia"/>
          <w:szCs w:val="32"/>
        </w:rPr>
        <w:t>2</w:t>
      </w:r>
      <w:r w:rsidRPr="000653EA">
        <w:rPr>
          <w:rFonts w:ascii="仿宋" w:hAnsi="仿宋" w:hint="eastAsia"/>
          <w:szCs w:val="32"/>
        </w:rPr>
        <w:t>年，全市基层</w:t>
      </w:r>
      <w:r w:rsidR="00F625F7">
        <w:rPr>
          <w:rFonts w:ascii="仿宋" w:hAnsi="仿宋" w:hint="eastAsia"/>
          <w:szCs w:val="32"/>
        </w:rPr>
        <w:t>人民</w:t>
      </w:r>
      <w:r w:rsidRPr="000653EA">
        <w:rPr>
          <w:rFonts w:ascii="仿宋" w:hAnsi="仿宋" w:hint="eastAsia"/>
          <w:szCs w:val="32"/>
        </w:rPr>
        <w:t>法院新收房地产案件数为</w:t>
      </w:r>
      <w:r>
        <w:rPr>
          <w:rFonts w:ascii="仿宋" w:hAnsi="仿宋" w:hint="eastAsia"/>
          <w:szCs w:val="32"/>
        </w:rPr>
        <w:t>19161</w:t>
      </w:r>
      <w:r w:rsidRPr="000653EA">
        <w:rPr>
          <w:rFonts w:ascii="仿宋" w:hAnsi="仿宋" w:hint="eastAsia"/>
          <w:szCs w:val="32"/>
        </w:rPr>
        <w:t>件。从地区分布来看，昆山</w:t>
      </w:r>
      <w:r w:rsidR="008F390A">
        <w:rPr>
          <w:rFonts w:ascii="仿宋" w:hAnsi="仿宋" w:hint="eastAsia"/>
          <w:szCs w:val="32"/>
        </w:rPr>
        <w:t>市人民</w:t>
      </w:r>
      <w:r w:rsidRPr="000653EA">
        <w:rPr>
          <w:rFonts w:ascii="仿宋" w:hAnsi="仿宋" w:hint="eastAsia"/>
          <w:szCs w:val="32"/>
        </w:rPr>
        <w:t>法院</w:t>
      </w:r>
      <w:r>
        <w:rPr>
          <w:rFonts w:ascii="仿宋" w:hAnsi="仿宋" w:hint="eastAsia"/>
          <w:szCs w:val="32"/>
        </w:rPr>
        <w:t>3814</w:t>
      </w:r>
      <w:r w:rsidRPr="000653EA">
        <w:rPr>
          <w:rFonts w:ascii="仿宋" w:hAnsi="仿宋" w:hint="eastAsia"/>
          <w:szCs w:val="32"/>
        </w:rPr>
        <w:t>件，占</w:t>
      </w:r>
      <w:r w:rsidR="008F390A">
        <w:rPr>
          <w:rFonts w:ascii="仿宋" w:hAnsi="仿宋" w:hint="eastAsia"/>
          <w:szCs w:val="32"/>
        </w:rPr>
        <w:t>比</w:t>
      </w:r>
      <w:r>
        <w:rPr>
          <w:rFonts w:ascii="仿宋" w:hAnsi="仿宋" w:hint="eastAsia"/>
          <w:szCs w:val="32"/>
        </w:rPr>
        <w:t>20.07</w:t>
      </w:r>
      <w:r w:rsidRPr="000653EA">
        <w:rPr>
          <w:rFonts w:ascii="仿宋" w:hAnsi="仿宋" w:hint="eastAsia"/>
          <w:szCs w:val="32"/>
        </w:rPr>
        <w:t>%；常熟、吴江、吴中</w:t>
      </w:r>
      <w:r>
        <w:rPr>
          <w:rFonts w:ascii="仿宋" w:hAnsi="仿宋" w:hint="eastAsia"/>
          <w:szCs w:val="32"/>
        </w:rPr>
        <w:t>三</w:t>
      </w:r>
      <w:r w:rsidRPr="000653EA">
        <w:rPr>
          <w:rFonts w:ascii="仿宋" w:hAnsi="仿宋" w:hint="eastAsia"/>
          <w:szCs w:val="32"/>
        </w:rPr>
        <w:t>家法院，新收案件数量均在2000</w:t>
      </w:r>
      <w:r>
        <w:rPr>
          <w:rFonts w:ascii="仿宋" w:hAnsi="仿宋" w:hint="eastAsia"/>
          <w:szCs w:val="32"/>
        </w:rPr>
        <w:t>件以上；姑苏、相城、</w:t>
      </w:r>
      <w:r w:rsidR="000E273B">
        <w:rPr>
          <w:rFonts w:ascii="仿宋" w:hAnsi="仿宋" w:hint="eastAsia"/>
          <w:szCs w:val="32"/>
        </w:rPr>
        <w:t>工业</w:t>
      </w:r>
      <w:r w:rsidRPr="000653EA">
        <w:rPr>
          <w:rFonts w:ascii="仿宋" w:hAnsi="仿宋" w:hint="eastAsia"/>
          <w:szCs w:val="32"/>
        </w:rPr>
        <w:t>园区</w:t>
      </w:r>
      <w:r>
        <w:rPr>
          <w:rFonts w:ascii="仿宋" w:hAnsi="仿宋" w:hint="eastAsia"/>
          <w:szCs w:val="32"/>
        </w:rPr>
        <w:t>、太仓、张家港和</w:t>
      </w:r>
      <w:r w:rsidRPr="000653EA">
        <w:rPr>
          <w:rFonts w:ascii="仿宋" w:hAnsi="仿宋" w:hint="eastAsia"/>
          <w:szCs w:val="32"/>
        </w:rPr>
        <w:t>虎丘六家法院，新收案件数量在1000件至2000件之间</w:t>
      </w:r>
      <w:r w:rsidR="00C96D4E">
        <w:rPr>
          <w:rFonts w:ascii="仿宋" w:hAnsi="仿宋" w:hint="eastAsia"/>
          <w:szCs w:val="32"/>
        </w:rPr>
        <w:t>（见表1）</w:t>
      </w:r>
      <w:r w:rsidRPr="000653EA">
        <w:rPr>
          <w:rFonts w:ascii="仿宋" w:hAnsi="仿宋" w:hint="eastAsia"/>
          <w:szCs w:val="32"/>
        </w:rPr>
        <w:t>。</w:t>
      </w:r>
    </w:p>
    <w:p w:rsidR="007C3BD2" w:rsidRPr="007C3BD2" w:rsidRDefault="007C3BD2" w:rsidP="007C3BD2">
      <w:pPr>
        <w:ind w:firstLineChars="0" w:firstLine="0"/>
        <w:jc w:val="center"/>
        <w:rPr>
          <w:rFonts w:ascii="楷体" w:eastAsia="楷体" w:hAnsi="楷体"/>
          <w:szCs w:val="32"/>
        </w:rPr>
      </w:pPr>
      <w:r w:rsidRPr="007C3BD2">
        <w:rPr>
          <w:rFonts w:ascii="楷体" w:eastAsia="楷体" w:hAnsi="楷体" w:cs="宋体" w:hint="eastAsia"/>
          <w:color w:val="000000"/>
          <w:kern w:val="0"/>
          <w:szCs w:val="32"/>
        </w:rPr>
        <w:t>表</w:t>
      </w:r>
      <w:r w:rsidR="00D6018C">
        <w:rPr>
          <w:rFonts w:ascii="楷体" w:eastAsia="楷体" w:hAnsi="楷体" w:cs="宋体" w:hint="eastAsia"/>
          <w:color w:val="000000"/>
          <w:kern w:val="0"/>
          <w:szCs w:val="32"/>
        </w:rPr>
        <w:t>1</w:t>
      </w:r>
      <w:r w:rsidRPr="007C3BD2">
        <w:rPr>
          <w:rFonts w:ascii="楷体" w:eastAsia="楷体" w:hAnsi="楷体" w:cs="宋体" w:hint="eastAsia"/>
          <w:color w:val="000000"/>
          <w:kern w:val="0"/>
          <w:szCs w:val="32"/>
        </w:rPr>
        <w:t>:全市基层人民法院</w:t>
      </w:r>
      <w:r w:rsidR="00EC7ACD" w:rsidRPr="007C3BD2">
        <w:rPr>
          <w:rFonts w:ascii="楷体" w:eastAsia="楷体" w:hAnsi="楷体" w:cs="宋体" w:hint="eastAsia"/>
          <w:color w:val="000000"/>
          <w:kern w:val="0"/>
          <w:szCs w:val="32"/>
        </w:rPr>
        <w:t>2022年</w:t>
      </w:r>
      <w:r w:rsidRPr="007C3BD2">
        <w:rPr>
          <w:rFonts w:ascii="楷体" w:eastAsia="楷体" w:hAnsi="楷体" w:cs="宋体" w:hint="eastAsia"/>
          <w:color w:val="000000"/>
          <w:kern w:val="0"/>
          <w:szCs w:val="32"/>
        </w:rPr>
        <w:t>受理房地产案件数量</w:t>
      </w:r>
      <w:r w:rsidR="00B93CDE">
        <w:rPr>
          <w:rFonts w:ascii="楷体" w:eastAsia="楷体" w:hAnsi="楷体" w:cs="宋体" w:hint="eastAsia"/>
          <w:color w:val="000000"/>
          <w:kern w:val="0"/>
          <w:szCs w:val="32"/>
        </w:rPr>
        <w:t>情况</w:t>
      </w:r>
    </w:p>
    <w:p w:rsidR="007C3BD2" w:rsidRPr="007C3BD2" w:rsidRDefault="007C3BD2" w:rsidP="00907FD1">
      <w:pPr>
        <w:ind w:firstLine="640"/>
        <w:rPr>
          <w:rFonts w:ascii="仿宋" w:hAnsi="仿宋"/>
          <w:szCs w:val="32"/>
        </w:rPr>
      </w:pPr>
    </w:p>
    <w:p w:rsidR="00E30EAD" w:rsidRDefault="00E30EAD" w:rsidP="00907FD1">
      <w:pPr>
        <w:ind w:firstLine="640"/>
        <w:rPr>
          <w:rFonts w:ascii="仿宋" w:hAnsi="仿宋"/>
          <w:szCs w:val="32"/>
        </w:rPr>
      </w:pPr>
    </w:p>
    <w:p w:rsidR="00E30EAD" w:rsidRDefault="00E30EAD" w:rsidP="00907FD1">
      <w:pPr>
        <w:ind w:firstLine="640"/>
        <w:rPr>
          <w:rFonts w:ascii="仿宋" w:hAnsi="仿宋"/>
          <w:szCs w:val="32"/>
        </w:rPr>
      </w:pPr>
    </w:p>
    <w:p w:rsidR="00E30EAD" w:rsidRDefault="00E30EAD" w:rsidP="00907FD1">
      <w:pPr>
        <w:ind w:firstLine="640"/>
        <w:rPr>
          <w:rFonts w:ascii="仿宋" w:hAnsi="仿宋"/>
          <w:szCs w:val="32"/>
        </w:rPr>
      </w:pPr>
    </w:p>
    <w:p w:rsidR="005F15DB" w:rsidRDefault="005F15DB" w:rsidP="00907FD1">
      <w:pPr>
        <w:ind w:firstLine="640"/>
        <w:rPr>
          <w:rFonts w:ascii="仿宋" w:hAnsi="仿宋"/>
          <w:szCs w:val="32"/>
        </w:rPr>
      </w:pPr>
    </w:p>
    <w:tbl>
      <w:tblPr>
        <w:tblW w:w="8804" w:type="dxa"/>
        <w:tblInd w:w="93" w:type="dxa"/>
        <w:tblLook w:val="04A0" w:firstRow="1" w:lastRow="0" w:firstColumn="1" w:lastColumn="0" w:noHBand="0" w:noVBand="1"/>
      </w:tblPr>
      <w:tblGrid>
        <w:gridCol w:w="1672"/>
        <w:gridCol w:w="3691"/>
        <w:gridCol w:w="3441"/>
      </w:tblGrid>
      <w:tr w:rsidR="00C43EDB" w:rsidRPr="00DF15BA" w:rsidTr="00E30EAD">
        <w:trPr>
          <w:trHeight w:val="1284"/>
        </w:trPr>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lastRenderedPageBreak/>
              <w:t>管辖法院</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受理案件总数（件）</w:t>
            </w:r>
          </w:p>
        </w:tc>
        <w:tc>
          <w:tcPr>
            <w:tcW w:w="3441" w:type="dxa"/>
            <w:tcBorders>
              <w:top w:val="single" w:sz="4" w:space="0" w:color="auto"/>
              <w:left w:val="nil"/>
              <w:bottom w:val="single" w:sz="4" w:space="0" w:color="auto"/>
              <w:right w:val="single" w:sz="4" w:space="0" w:color="auto"/>
            </w:tcBorders>
            <w:shd w:val="clear" w:color="auto" w:fill="auto"/>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占全市基层</w:t>
            </w:r>
            <w:r w:rsidR="00EB4008">
              <w:rPr>
                <w:rFonts w:ascii="黑体" w:eastAsia="黑体" w:hAnsi="黑体" w:cs="宋体" w:hint="eastAsia"/>
                <w:color w:val="000000"/>
                <w:kern w:val="0"/>
                <w:sz w:val="24"/>
                <w:szCs w:val="24"/>
              </w:rPr>
              <w:t>人民</w:t>
            </w:r>
            <w:r w:rsidRPr="00DF15BA">
              <w:rPr>
                <w:rFonts w:ascii="黑体" w:eastAsia="黑体" w:hAnsi="黑体" w:cs="宋体" w:hint="eastAsia"/>
                <w:color w:val="000000"/>
                <w:kern w:val="0"/>
                <w:sz w:val="24"/>
                <w:szCs w:val="24"/>
              </w:rPr>
              <w:t>法院受理房地产案件比例</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昆山</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3814</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20.07%</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吴中</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2175</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11.35%</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吴江</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2060</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10.75%</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常熟</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2037</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10.63%</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张家港</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1976</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10.31%</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太仓</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1782</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9.30%</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相城</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1479</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7.72%</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姑苏</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1443</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7.53%</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虎丘</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1209</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6.31%</w:t>
            </w:r>
          </w:p>
        </w:tc>
      </w:tr>
      <w:tr w:rsidR="00C43EDB" w:rsidRPr="00DF15BA" w:rsidTr="0062348A">
        <w:trPr>
          <w:trHeight w:val="445"/>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C43EDB" w:rsidRPr="00DF15BA" w:rsidRDefault="00DC5FAE" w:rsidP="00C43EDB">
            <w:pPr>
              <w:widowControl/>
              <w:ind w:firstLine="48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工业</w:t>
            </w:r>
            <w:r w:rsidR="00C43EDB" w:rsidRPr="00DF15BA">
              <w:rPr>
                <w:rFonts w:ascii="黑体" w:eastAsia="黑体" w:hAnsi="黑体" w:cs="宋体" w:hint="eastAsia"/>
                <w:color w:val="000000"/>
                <w:kern w:val="0"/>
                <w:sz w:val="24"/>
                <w:szCs w:val="24"/>
              </w:rPr>
              <w:t>园区</w:t>
            </w:r>
          </w:p>
        </w:tc>
        <w:tc>
          <w:tcPr>
            <w:tcW w:w="369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1186</w:t>
            </w:r>
          </w:p>
        </w:tc>
        <w:tc>
          <w:tcPr>
            <w:tcW w:w="3441" w:type="dxa"/>
            <w:tcBorders>
              <w:top w:val="nil"/>
              <w:left w:val="nil"/>
              <w:bottom w:val="single" w:sz="4" w:space="0" w:color="auto"/>
              <w:right w:val="single" w:sz="4" w:space="0" w:color="auto"/>
            </w:tcBorders>
            <w:shd w:val="clear" w:color="auto" w:fill="auto"/>
            <w:noWrap/>
            <w:vAlign w:val="center"/>
            <w:hideMark/>
          </w:tcPr>
          <w:p w:rsidR="00C43EDB" w:rsidRPr="00DF15BA" w:rsidRDefault="00C43EDB" w:rsidP="00C43EDB">
            <w:pPr>
              <w:widowControl/>
              <w:ind w:firstLine="480"/>
              <w:jc w:val="center"/>
              <w:rPr>
                <w:rFonts w:ascii="黑体" w:eastAsia="黑体" w:hAnsi="黑体" w:cs="宋体"/>
                <w:color w:val="000000"/>
                <w:kern w:val="0"/>
                <w:sz w:val="24"/>
                <w:szCs w:val="24"/>
              </w:rPr>
            </w:pPr>
            <w:r w:rsidRPr="00DF15BA">
              <w:rPr>
                <w:rFonts w:ascii="黑体" w:eastAsia="黑体" w:hAnsi="黑体" w:cs="宋体" w:hint="eastAsia"/>
                <w:color w:val="000000"/>
                <w:kern w:val="0"/>
                <w:sz w:val="24"/>
                <w:szCs w:val="24"/>
              </w:rPr>
              <w:t>6.12%</w:t>
            </w:r>
          </w:p>
        </w:tc>
      </w:tr>
    </w:tbl>
    <w:p w:rsidR="00C43EDB" w:rsidRDefault="00C43EDB" w:rsidP="00C43EDB">
      <w:pPr>
        <w:ind w:firstLine="640"/>
        <w:rPr>
          <w:rFonts w:ascii="仿宋" w:hAnsi="仿宋" w:cs="Times New Roman"/>
          <w:szCs w:val="32"/>
        </w:rPr>
      </w:pPr>
      <w:r w:rsidRPr="004009FA">
        <w:rPr>
          <w:rFonts w:ascii="仿宋" w:hAnsi="仿宋" w:hint="eastAsia"/>
          <w:szCs w:val="32"/>
        </w:rPr>
        <w:t>从案件类型看，</w:t>
      </w:r>
      <w:r>
        <w:rPr>
          <w:rFonts w:ascii="仿宋" w:hAnsi="仿宋" w:hint="eastAsia"/>
          <w:szCs w:val="32"/>
        </w:rPr>
        <w:t>昆山、张家港、吴江、常熟、吴中</w:t>
      </w:r>
      <w:r w:rsidR="00583DC7">
        <w:rPr>
          <w:rFonts w:ascii="仿宋" w:hAnsi="仿宋" w:hint="eastAsia"/>
          <w:szCs w:val="32"/>
        </w:rPr>
        <w:t>五家法院</w:t>
      </w:r>
      <w:r>
        <w:rPr>
          <w:rFonts w:ascii="仿宋" w:hAnsi="仿宋" w:hint="eastAsia"/>
          <w:szCs w:val="32"/>
        </w:rPr>
        <w:t>新收的建设工程合同纠纷案件较多，分别为824件、634件、538件、524件、498件，合计占比63.69%；太仓、昆山、张家港、吴江、吴中</w:t>
      </w:r>
      <w:r w:rsidR="00583DC7">
        <w:rPr>
          <w:rFonts w:ascii="仿宋" w:hAnsi="仿宋" w:hint="eastAsia"/>
          <w:szCs w:val="32"/>
        </w:rPr>
        <w:t>五家法院</w:t>
      </w:r>
      <w:r>
        <w:rPr>
          <w:rFonts w:ascii="仿宋" w:hAnsi="仿宋" w:hint="eastAsia"/>
          <w:szCs w:val="32"/>
        </w:rPr>
        <w:t>新收的</w:t>
      </w:r>
      <w:r w:rsidRPr="00E5054E">
        <w:rPr>
          <w:rFonts w:ascii="仿宋" w:hAnsi="仿宋" w:hint="eastAsia"/>
          <w:szCs w:val="32"/>
        </w:rPr>
        <w:t>房屋买卖合同纠纷数量较多，分别为</w:t>
      </w:r>
      <w:r>
        <w:rPr>
          <w:rFonts w:ascii="仿宋" w:hAnsi="仿宋" w:hint="eastAsia"/>
          <w:szCs w:val="32"/>
        </w:rPr>
        <w:t>606件、581件、570件、538件、498件，合计占比68.98%；昆山、吴中、吴江、</w:t>
      </w:r>
      <w:r w:rsidR="00583DC7">
        <w:rPr>
          <w:rFonts w:ascii="仿宋" w:hAnsi="仿宋" w:hint="eastAsia"/>
          <w:szCs w:val="32"/>
        </w:rPr>
        <w:t>工业</w:t>
      </w:r>
      <w:r>
        <w:rPr>
          <w:rFonts w:ascii="仿宋" w:hAnsi="仿宋" w:hint="eastAsia"/>
          <w:szCs w:val="32"/>
        </w:rPr>
        <w:t>园区、常熟</w:t>
      </w:r>
      <w:r w:rsidR="00583DC7">
        <w:rPr>
          <w:rFonts w:ascii="仿宋" w:hAnsi="仿宋" w:hint="eastAsia"/>
          <w:szCs w:val="32"/>
        </w:rPr>
        <w:t>五家法院</w:t>
      </w:r>
      <w:r>
        <w:rPr>
          <w:rFonts w:ascii="仿宋" w:hAnsi="仿宋" w:hint="eastAsia"/>
          <w:szCs w:val="32"/>
        </w:rPr>
        <w:t>新收的</w:t>
      </w:r>
      <w:r w:rsidRPr="00E5054E">
        <w:rPr>
          <w:rFonts w:ascii="仿宋" w:hAnsi="仿宋" w:cs="Times New Roman" w:hint="eastAsia"/>
          <w:szCs w:val="32"/>
        </w:rPr>
        <w:t>租赁合同纠纷案件较多，分别为</w:t>
      </w:r>
      <w:r>
        <w:rPr>
          <w:rFonts w:ascii="仿宋" w:hAnsi="仿宋" w:cs="Times New Roman" w:hint="eastAsia"/>
          <w:szCs w:val="32"/>
        </w:rPr>
        <w:t>1089件、727件、627件、572件、572件，合计占比60.55%；昆山、常熟、吴江</w:t>
      </w:r>
      <w:r w:rsidR="00583DC7">
        <w:rPr>
          <w:rFonts w:ascii="仿宋" w:hAnsi="仿宋" w:cs="Times New Roman" w:hint="eastAsia"/>
          <w:szCs w:val="32"/>
        </w:rPr>
        <w:t>三家法院</w:t>
      </w:r>
      <w:r>
        <w:rPr>
          <w:rFonts w:ascii="仿宋" w:hAnsi="仿宋" w:cs="Times New Roman" w:hint="eastAsia"/>
          <w:szCs w:val="32"/>
        </w:rPr>
        <w:t>新收物业</w:t>
      </w:r>
      <w:r w:rsidRPr="00E5054E">
        <w:rPr>
          <w:rFonts w:ascii="仿宋" w:hAnsi="仿宋" w:cs="Times New Roman" w:hint="eastAsia"/>
          <w:szCs w:val="32"/>
        </w:rPr>
        <w:t>服务合同案件较多，分别为</w:t>
      </w:r>
      <w:r>
        <w:rPr>
          <w:rFonts w:ascii="仿宋" w:hAnsi="仿宋" w:cs="Times New Roman" w:hint="eastAsia"/>
          <w:szCs w:val="32"/>
        </w:rPr>
        <w:t>1319件、719件、463件，合计占比56.05%</w:t>
      </w:r>
      <w:r w:rsidR="00C96D4E">
        <w:rPr>
          <w:rFonts w:ascii="仿宋" w:hAnsi="仿宋" w:cs="Times New Roman" w:hint="eastAsia"/>
          <w:szCs w:val="32"/>
        </w:rPr>
        <w:t>（见表2）</w:t>
      </w:r>
      <w:r>
        <w:rPr>
          <w:rFonts w:ascii="仿宋" w:hAnsi="仿宋" w:cs="Times New Roman" w:hint="eastAsia"/>
          <w:szCs w:val="32"/>
        </w:rPr>
        <w:t>。</w:t>
      </w:r>
    </w:p>
    <w:p w:rsidR="004D2D84" w:rsidRPr="004D2D84" w:rsidRDefault="004D2D84" w:rsidP="004D2D84">
      <w:pPr>
        <w:ind w:firstLineChars="0" w:firstLine="0"/>
        <w:jc w:val="center"/>
        <w:rPr>
          <w:rFonts w:ascii="楷体" w:eastAsia="楷体" w:hAnsi="楷体"/>
          <w:szCs w:val="32"/>
        </w:rPr>
      </w:pPr>
      <w:r w:rsidRPr="004D2D84">
        <w:rPr>
          <w:rFonts w:ascii="楷体" w:eastAsia="楷体" w:hAnsi="楷体" w:hint="eastAsia"/>
          <w:szCs w:val="32"/>
        </w:rPr>
        <w:t>表</w:t>
      </w:r>
      <w:r w:rsidR="00D6018C">
        <w:rPr>
          <w:rFonts w:ascii="楷体" w:eastAsia="楷体" w:hAnsi="楷体" w:hint="eastAsia"/>
          <w:szCs w:val="32"/>
        </w:rPr>
        <w:t>2</w:t>
      </w:r>
      <w:r w:rsidRPr="004D2D84">
        <w:rPr>
          <w:rFonts w:ascii="楷体" w:eastAsia="楷体" w:hAnsi="楷体" w:hint="eastAsia"/>
          <w:szCs w:val="32"/>
        </w:rPr>
        <w:t>:各基层</w:t>
      </w:r>
      <w:r>
        <w:rPr>
          <w:rFonts w:ascii="楷体" w:eastAsia="楷体" w:hAnsi="楷体" w:hint="eastAsia"/>
          <w:szCs w:val="32"/>
        </w:rPr>
        <w:t>人民</w:t>
      </w:r>
      <w:r w:rsidRPr="004D2D84">
        <w:rPr>
          <w:rFonts w:ascii="楷体" w:eastAsia="楷体" w:hAnsi="楷体" w:hint="eastAsia"/>
          <w:szCs w:val="32"/>
        </w:rPr>
        <w:t>法院2022年受理房地产案件类型占比</w:t>
      </w:r>
      <w:r w:rsidR="001E322D">
        <w:rPr>
          <w:rFonts w:ascii="楷体" w:eastAsia="楷体" w:hAnsi="楷体" w:hint="eastAsia"/>
          <w:szCs w:val="32"/>
        </w:rPr>
        <w:t>情况</w:t>
      </w:r>
    </w:p>
    <w:p w:rsidR="00295689" w:rsidRPr="004D2D84" w:rsidRDefault="00295689" w:rsidP="00C43EDB">
      <w:pPr>
        <w:ind w:firstLine="640"/>
        <w:rPr>
          <w:rFonts w:ascii="仿宋" w:hAnsi="仿宋"/>
          <w:szCs w:val="32"/>
        </w:rPr>
      </w:pPr>
    </w:p>
    <w:tbl>
      <w:tblPr>
        <w:tblW w:w="9780" w:type="dxa"/>
        <w:tblInd w:w="103" w:type="dxa"/>
        <w:tblLook w:val="04A0" w:firstRow="1" w:lastRow="0" w:firstColumn="1" w:lastColumn="0" w:noHBand="0" w:noVBand="1"/>
      </w:tblPr>
      <w:tblGrid>
        <w:gridCol w:w="1423"/>
        <w:gridCol w:w="2268"/>
        <w:gridCol w:w="2052"/>
        <w:gridCol w:w="1359"/>
        <w:gridCol w:w="1259"/>
        <w:gridCol w:w="1419"/>
      </w:tblGrid>
      <w:tr w:rsidR="00295689" w:rsidRPr="00295689" w:rsidTr="000106AC">
        <w:trPr>
          <w:trHeight w:val="750"/>
        </w:trPr>
        <w:tc>
          <w:tcPr>
            <w:tcW w:w="1423"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2B0413" w:rsidRDefault="002B0413" w:rsidP="002B0413">
            <w:pPr>
              <w:widowControl/>
              <w:spacing w:line="240" w:lineRule="auto"/>
              <w:ind w:firstLineChars="0" w:firstLine="0"/>
              <w:jc w:val="right"/>
              <w:rPr>
                <w:rFonts w:ascii="黑体" w:eastAsia="黑体" w:hAnsi="黑体" w:cs="宋体"/>
                <w:color w:val="000000"/>
                <w:kern w:val="0"/>
                <w:sz w:val="24"/>
                <w:szCs w:val="24"/>
              </w:rPr>
            </w:pPr>
            <w:r>
              <w:rPr>
                <w:rFonts w:ascii="黑体" w:eastAsia="黑体" w:hAnsi="黑体" w:cs="宋体" w:hint="eastAsia"/>
                <w:color w:val="000000"/>
                <w:kern w:val="0"/>
                <w:sz w:val="24"/>
                <w:szCs w:val="24"/>
              </w:rPr>
              <w:t>案由</w:t>
            </w:r>
          </w:p>
          <w:p w:rsidR="00295689" w:rsidRPr="00295689" w:rsidRDefault="00295689" w:rsidP="002B0413">
            <w:pPr>
              <w:widowControl/>
              <w:spacing w:line="240" w:lineRule="auto"/>
              <w:ind w:firstLineChars="0" w:firstLine="0"/>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法院</w:t>
            </w:r>
          </w:p>
        </w:tc>
        <w:tc>
          <w:tcPr>
            <w:tcW w:w="2268" w:type="dxa"/>
            <w:tcBorders>
              <w:top w:val="single" w:sz="4" w:space="0" w:color="auto"/>
              <w:left w:val="single" w:sz="4" w:space="0" w:color="auto"/>
              <w:bottom w:val="single" w:sz="4" w:space="0" w:color="auto"/>
              <w:right w:val="single" w:sz="4" w:space="0" w:color="auto"/>
            </w:tcBorders>
            <w:vAlign w:val="center"/>
            <w:hideMark/>
          </w:tcPr>
          <w:p w:rsidR="00295689" w:rsidRPr="00295689" w:rsidRDefault="000106AC" w:rsidP="000106AC">
            <w:pPr>
              <w:widowControl/>
              <w:spacing w:line="240" w:lineRule="auto"/>
              <w:ind w:firstLineChars="0" w:firstLine="0"/>
              <w:jc w:val="center"/>
              <w:rPr>
                <w:rFonts w:ascii="黑体" w:eastAsia="黑体" w:hAnsi="黑体" w:cs="宋体"/>
                <w:color w:val="000000"/>
                <w:kern w:val="0"/>
                <w:sz w:val="24"/>
                <w:szCs w:val="24"/>
              </w:rPr>
            </w:pPr>
            <w:r w:rsidRPr="000106AC">
              <w:rPr>
                <w:rFonts w:ascii="黑体" w:eastAsia="黑体" w:hAnsi="黑体" w:cs="宋体" w:hint="eastAsia"/>
                <w:color w:val="000000"/>
                <w:kern w:val="0"/>
                <w:sz w:val="24"/>
                <w:szCs w:val="24"/>
              </w:rPr>
              <w:t>建设工程合同纠纷</w:t>
            </w:r>
          </w:p>
        </w:tc>
        <w:tc>
          <w:tcPr>
            <w:tcW w:w="2052" w:type="dxa"/>
            <w:tcBorders>
              <w:top w:val="single" w:sz="4" w:space="0" w:color="auto"/>
              <w:left w:val="single" w:sz="4" w:space="0" w:color="auto"/>
              <w:bottom w:val="single" w:sz="4" w:space="0" w:color="auto"/>
              <w:right w:val="single" w:sz="4" w:space="0" w:color="auto"/>
            </w:tcBorders>
            <w:vAlign w:val="center"/>
            <w:hideMark/>
          </w:tcPr>
          <w:p w:rsidR="00295689" w:rsidRPr="00295689" w:rsidRDefault="000106AC" w:rsidP="000106AC">
            <w:pPr>
              <w:widowControl/>
              <w:spacing w:line="240" w:lineRule="auto"/>
              <w:ind w:firstLineChars="0" w:firstLine="0"/>
              <w:jc w:val="center"/>
              <w:rPr>
                <w:rFonts w:ascii="黑体" w:eastAsia="黑体" w:hAnsi="黑体" w:cs="宋体"/>
                <w:color w:val="000000"/>
                <w:kern w:val="0"/>
                <w:sz w:val="24"/>
                <w:szCs w:val="24"/>
              </w:rPr>
            </w:pPr>
            <w:r w:rsidRPr="000106AC">
              <w:rPr>
                <w:rFonts w:ascii="黑体" w:eastAsia="黑体" w:hAnsi="黑体" w:cs="宋体" w:hint="eastAsia"/>
                <w:color w:val="000000"/>
                <w:kern w:val="0"/>
                <w:sz w:val="24"/>
                <w:szCs w:val="24"/>
              </w:rPr>
              <w:t>建设用地使用权合同纠纷</w:t>
            </w:r>
          </w:p>
        </w:tc>
        <w:tc>
          <w:tcPr>
            <w:tcW w:w="1359" w:type="dxa"/>
            <w:tcBorders>
              <w:top w:val="single" w:sz="4" w:space="0" w:color="auto"/>
              <w:left w:val="single" w:sz="4" w:space="0" w:color="auto"/>
              <w:bottom w:val="single" w:sz="4" w:space="0" w:color="auto"/>
              <w:right w:val="single" w:sz="4" w:space="0" w:color="auto"/>
            </w:tcBorders>
            <w:vAlign w:val="center"/>
            <w:hideMark/>
          </w:tcPr>
          <w:p w:rsidR="00295689" w:rsidRPr="00295689" w:rsidRDefault="000106AC" w:rsidP="00295689">
            <w:pPr>
              <w:widowControl/>
              <w:spacing w:line="240" w:lineRule="auto"/>
              <w:ind w:firstLineChars="0" w:firstLine="0"/>
              <w:jc w:val="left"/>
              <w:rPr>
                <w:rFonts w:ascii="黑体" w:eastAsia="黑体" w:hAnsi="黑体" w:cs="宋体"/>
                <w:color w:val="000000"/>
                <w:kern w:val="0"/>
                <w:sz w:val="24"/>
                <w:szCs w:val="24"/>
              </w:rPr>
            </w:pPr>
            <w:r w:rsidRPr="000106AC">
              <w:rPr>
                <w:rFonts w:ascii="黑体" w:eastAsia="黑体" w:hAnsi="黑体" w:cs="宋体" w:hint="eastAsia"/>
                <w:color w:val="000000"/>
                <w:kern w:val="0"/>
                <w:sz w:val="24"/>
                <w:szCs w:val="24"/>
              </w:rPr>
              <w:t>房屋买卖合同纠纷</w:t>
            </w:r>
          </w:p>
        </w:tc>
        <w:tc>
          <w:tcPr>
            <w:tcW w:w="1259" w:type="dxa"/>
            <w:tcBorders>
              <w:top w:val="single" w:sz="4" w:space="0" w:color="auto"/>
              <w:left w:val="single" w:sz="4" w:space="0" w:color="auto"/>
              <w:bottom w:val="single" w:sz="4" w:space="0" w:color="auto"/>
              <w:right w:val="single" w:sz="4" w:space="0" w:color="auto"/>
            </w:tcBorders>
            <w:vAlign w:val="center"/>
            <w:hideMark/>
          </w:tcPr>
          <w:p w:rsidR="00295689" w:rsidRPr="00295689" w:rsidRDefault="000106AC" w:rsidP="000106AC">
            <w:pPr>
              <w:widowControl/>
              <w:spacing w:line="240" w:lineRule="auto"/>
              <w:ind w:firstLineChars="0" w:firstLine="0"/>
              <w:jc w:val="center"/>
              <w:rPr>
                <w:rFonts w:ascii="黑体" w:eastAsia="黑体" w:hAnsi="黑体" w:cs="宋体"/>
                <w:color w:val="000000"/>
                <w:kern w:val="0"/>
                <w:sz w:val="24"/>
                <w:szCs w:val="24"/>
              </w:rPr>
            </w:pPr>
            <w:r w:rsidRPr="000106AC">
              <w:rPr>
                <w:rFonts w:ascii="黑体" w:eastAsia="黑体" w:hAnsi="黑体" w:cs="宋体" w:hint="eastAsia"/>
                <w:color w:val="000000"/>
                <w:kern w:val="0"/>
                <w:sz w:val="24"/>
                <w:szCs w:val="24"/>
              </w:rPr>
              <w:t>租赁合同纠纷</w:t>
            </w:r>
          </w:p>
        </w:tc>
        <w:tc>
          <w:tcPr>
            <w:tcW w:w="1419" w:type="dxa"/>
            <w:tcBorders>
              <w:top w:val="single" w:sz="4" w:space="0" w:color="auto"/>
              <w:left w:val="single" w:sz="4" w:space="0" w:color="auto"/>
              <w:bottom w:val="single" w:sz="4" w:space="0" w:color="auto"/>
              <w:right w:val="single" w:sz="4" w:space="0" w:color="auto"/>
            </w:tcBorders>
            <w:vAlign w:val="center"/>
            <w:hideMark/>
          </w:tcPr>
          <w:p w:rsidR="00295689" w:rsidRPr="00295689" w:rsidRDefault="000106AC" w:rsidP="000106AC">
            <w:pPr>
              <w:widowControl/>
              <w:spacing w:line="240" w:lineRule="auto"/>
              <w:ind w:firstLineChars="0" w:firstLine="0"/>
              <w:jc w:val="center"/>
              <w:rPr>
                <w:rFonts w:ascii="黑体" w:eastAsia="黑体" w:hAnsi="黑体" w:cs="宋体"/>
                <w:color w:val="000000"/>
                <w:kern w:val="0"/>
                <w:sz w:val="24"/>
                <w:szCs w:val="24"/>
              </w:rPr>
            </w:pPr>
            <w:r w:rsidRPr="000106AC">
              <w:rPr>
                <w:rFonts w:ascii="黑体" w:eastAsia="黑体" w:hAnsi="黑体" w:cs="宋体" w:hint="eastAsia"/>
                <w:color w:val="000000"/>
                <w:kern w:val="0"/>
                <w:sz w:val="24"/>
                <w:szCs w:val="24"/>
              </w:rPr>
              <w:t>物业服务合同纠纷</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姑苏</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7.03%</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16.70%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4.22%</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9.44%</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8.52%</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虎丘</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5.61%</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0.00%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6.82%</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5.20%</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8.07%</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相城</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8.67%</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0.00%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11.27%</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8.22%</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2.85%</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吴中</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10.51%</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0.00%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11.86%</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12.27%</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8.00%</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吴江</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11.35%</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33.30%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13.52%</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10.58%</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10.38%</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园区</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7.15%</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0.00%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3.20%</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9.66%</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3.27%</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常熟</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11.06%</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0.00%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5.51%</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9.66%</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16.11%</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张家港</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13.38%</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0.00%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14.14%</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7.73%</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7.04%</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太仓</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7.85%</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33.30%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15.04%</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8.86%</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6.21%</w:t>
            </w:r>
          </w:p>
        </w:tc>
      </w:tr>
      <w:tr w:rsidR="00295689" w:rsidRPr="00295689" w:rsidTr="000106AC">
        <w:trPr>
          <w:trHeight w:val="28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昆山</w:t>
            </w:r>
          </w:p>
        </w:tc>
        <w:tc>
          <w:tcPr>
            <w:tcW w:w="2268"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17.39%</w:t>
            </w:r>
          </w:p>
        </w:tc>
        <w:tc>
          <w:tcPr>
            <w:tcW w:w="2052"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16.70%</w:t>
            </w:r>
          </w:p>
        </w:tc>
        <w:tc>
          <w:tcPr>
            <w:tcW w:w="13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14.42%</w:t>
            </w:r>
          </w:p>
        </w:tc>
        <w:tc>
          <w:tcPr>
            <w:tcW w:w="125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18.38%</w:t>
            </w:r>
          </w:p>
        </w:tc>
        <w:tc>
          <w:tcPr>
            <w:tcW w:w="1419" w:type="dxa"/>
            <w:tcBorders>
              <w:top w:val="nil"/>
              <w:left w:val="nil"/>
              <w:bottom w:val="single" w:sz="4" w:space="0" w:color="auto"/>
              <w:right w:val="single" w:sz="4" w:space="0" w:color="auto"/>
            </w:tcBorders>
            <w:shd w:val="clear" w:color="auto" w:fill="auto"/>
            <w:vAlign w:val="center"/>
            <w:hideMark/>
          </w:tcPr>
          <w:p w:rsidR="00295689" w:rsidRPr="00295689" w:rsidRDefault="00295689" w:rsidP="00295689">
            <w:pPr>
              <w:widowControl/>
              <w:spacing w:line="240" w:lineRule="auto"/>
              <w:ind w:firstLineChars="0" w:firstLine="0"/>
              <w:jc w:val="center"/>
              <w:rPr>
                <w:rFonts w:ascii="黑体" w:eastAsia="黑体" w:hAnsi="黑体" w:cs="宋体"/>
                <w:color w:val="000000"/>
                <w:kern w:val="0"/>
                <w:sz w:val="24"/>
                <w:szCs w:val="24"/>
              </w:rPr>
            </w:pPr>
            <w:r w:rsidRPr="00295689">
              <w:rPr>
                <w:rFonts w:ascii="黑体" w:eastAsia="黑体" w:hAnsi="黑体" w:cs="宋体" w:hint="eastAsia"/>
                <w:color w:val="000000"/>
                <w:kern w:val="0"/>
                <w:sz w:val="24"/>
                <w:szCs w:val="24"/>
              </w:rPr>
              <w:t>29.56%</w:t>
            </w:r>
          </w:p>
        </w:tc>
      </w:tr>
    </w:tbl>
    <w:p w:rsidR="00D26400" w:rsidRPr="005F15DB" w:rsidRDefault="00C43EDB" w:rsidP="005F15DB">
      <w:pPr>
        <w:ind w:firstLine="640"/>
        <w:rPr>
          <w:rFonts w:ascii="楷体" w:eastAsia="楷体" w:hAnsi="楷体"/>
          <w:szCs w:val="32"/>
        </w:rPr>
      </w:pPr>
      <w:r w:rsidRPr="0062348A">
        <w:rPr>
          <w:rFonts w:ascii="楷体" w:eastAsia="楷体" w:hAnsi="楷体"/>
          <w:szCs w:val="32"/>
        </w:rPr>
        <w:t>4.案件调撤率分析</w:t>
      </w:r>
      <w:r w:rsidR="005F15DB">
        <w:rPr>
          <w:rFonts w:ascii="楷体" w:eastAsia="楷体" w:hAnsi="楷体" w:hint="eastAsia"/>
          <w:szCs w:val="32"/>
        </w:rPr>
        <w:t>。</w:t>
      </w:r>
      <w:r>
        <w:rPr>
          <w:rFonts w:ascii="仿宋" w:hAnsi="仿宋"/>
          <w:szCs w:val="32"/>
        </w:rPr>
        <w:t>202</w:t>
      </w:r>
      <w:r>
        <w:rPr>
          <w:rFonts w:ascii="仿宋" w:hAnsi="仿宋" w:hint="eastAsia"/>
          <w:szCs w:val="32"/>
        </w:rPr>
        <w:t>2</w:t>
      </w:r>
      <w:r w:rsidRPr="00DE4AA1">
        <w:rPr>
          <w:rFonts w:ascii="仿宋" w:hAnsi="仿宋"/>
          <w:szCs w:val="32"/>
        </w:rPr>
        <w:t>年</w:t>
      </w:r>
      <w:r w:rsidRPr="00DE4AA1">
        <w:rPr>
          <w:rFonts w:ascii="仿宋" w:hAnsi="仿宋" w:hint="eastAsia"/>
          <w:szCs w:val="32"/>
        </w:rPr>
        <w:t>，</w:t>
      </w:r>
      <w:r w:rsidRPr="00DE4AA1">
        <w:rPr>
          <w:rFonts w:ascii="仿宋" w:hAnsi="仿宋"/>
          <w:szCs w:val="32"/>
        </w:rPr>
        <w:t>全市法院审结房地产案件中，以调解和撤诉方式结案的案件数量为1</w:t>
      </w:r>
      <w:r>
        <w:rPr>
          <w:rFonts w:ascii="仿宋" w:hAnsi="仿宋" w:hint="eastAsia"/>
          <w:szCs w:val="32"/>
        </w:rPr>
        <w:t>1715</w:t>
      </w:r>
      <w:r w:rsidRPr="00DE4AA1">
        <w:rPr>
          <w:rFonts w:ascii="仿宋" w:hAnsi="仿宋"/>
          <w:szCs w:val="32"/>
        </w:rPr>
        <w:t>件，调撤率为</w:t>
      </w:r>
      <w:r>
        <w:rPr>
          <w:rFonts w:ascii="仿宋" w:hAnsi="仿宋" w:hint="eastAsia"/>
          <w:szCs w:val="32"/>
        </w:rPr>
        <w:t>52.02</w:t>
      </w:r>
      <w:r w:rsidRPr="00DE4AA1">
        <w:rPr>
          <w:rFonts w:ascii="仿宋" w:hAnsi="仿宋"/>
          <w:szCs w:val="32"/>
        </w:rPr>
        <w:t>%</w:t>
      </w:r>
      <w:r w:rsidRPr="00DE4AA1">
        <w:rPr>
          <w:rFonts w:ascii="仿宋" w:hAnsi="仿宋" w:hint="eastAsia"/>
          <w:szCs w:val="32"/>
        </w:rPr>
        <w:t>，同比</w:t>
      </w:r>
      <w:r>
        <w:rPr>
          <w:rFonts w:ascii="仿宋" w:hAnsi="仿宋" w:hint="eastAsia"/>
          <w:szCs w:val="32"/>
        </w:rPr>
        <w:t>减少7.15</w:t>
      </w:r>
      <w:r w:rsidRPr="00DE4AA1">
        <w:rPr>
          <w:rFonts w:ascii="仿宋" w:hAnsi="仿宋" w:hint="eastAsia"/>
          <w:szCs w:val="32"/>
        </w:rPr>
        <w:t>个百分点。</w:t>
      </w:r>
      <w:r w:rsidRPr="00E56F53">
        <w:rPr>
          <w:rFonts w:ascii="仿宋" w:hAnsi="仿宋" w:hint="eastAsia"/>
          <w:szCs w:val="32"/>
        </w:rPr>
        <w:t>其中，调解率较高的法院主要为</w:t>
      </w:r>
      <w:r>
        <w:rPr>
          <w:rFonts w:ascii="仿宋" w:hAnsi="仿宋" w:hint="eastAsia"/>
          <w:szCs w:val="32"/>
        </w:rPr>
        <w:t>太仓、张家港、相城</w:t>
      </w:r>
      <w:r w:rsidR="00E11A81">
        <w:rPr>
          <w:rFonts w:ascii="仿宋" w:hAnsi="仿宋" w:hint="eastAsia"/>
          <w:szCs w:val="32"/>
        </w:rPr>
        <w:t>三家法院</w:t>
      </w:r>
      <w:r>
        <w:rPr>
          <w:rFonts w:ascii="仿宋" w:hAnsi="仿宋" w:hint="eastAsia"/>
          <w:szCs w:val="32"/>
        </w:rPr>
        <w:t>，分别为27.79%、26.07%、23.82%；</w:t>
      </w:r>
      <w:r w:rsidRPr="00E56F53">
        <w:rPr>
          <w:rFonts w:ascii="仿宋" w:hAnsi="仿宋" w:hint="eastAsia"/>
          <w:szCs w:val="32"/>
        </w:rPr>
        <w:t>撤诉率较高的法院</w:t>
      </w:r>
      <w:r>
        <w:rPr>
          <w:rFonts w:ascii="仿宋" w:hAnsi="仿宋" w:hint="eastAsia"/>
          <w:szCs w:val="32"/>
        </w:rPr>
        <w:t>主要是常熟、昆山</w:t>
      </w:r>
      <w:r w:rsidRPr="00E56F53">
        <w:rPr>
          <w:rFonts w:ascii="仿宋" w:hAnsi="仿宋" w:hint="eastAsia"/>
          <w:szCs w:val="32"/>
        </w:rPr>
        <w:t>、</w:t>
      </w:r>
      <w:r>
        <w:rPr>
          <w:rFonts w:ascii="仿宋" w:hAnsi="仿宋" w:hint="eastAsia"/>
          <w:szCs w:val="32"/>
        </w:rPr>
        <w:t>太仓</w:t>
      </w:r>
      <w:r w:rsidR="00E11A81">
        <w:rPr>
          <w:rFonts w:ascii="仿宋" w:hAnsi="仿宋" w:hint="eastAsia"/>
          <w:szCs w:val="32"/>
        </w:rPr>
        <w:t>三家法院</w:t>
      </w:r>
      <w:r w:rsidRPr="00E56F53">
        <w:rPr>
          <w:rFonts w:ascii="仿宋" w:hAnsi="仿宋" w:hint="eastAsia"/>
          <w:szCs w:val="32"/>
        </w:rPr>
        <w:t>，分别为</w:t>
      </w:r>
      <w:r>
        <w:rPr>
          <w:rFonts w:ascii="仿宋" w:hAnsi="仿宋" w:hint="eastAsia"/>
          <w:szCs w:val="32"/>
        </w:rPr>
        <w:t>44.24%、41.14%、40.89%。</w:t>
      </w:r>
    </w:p>
    <w:p w:rsidR="00955987" w:rsidRPr="00F63A03" w:rsidRDefault="00D37BE1" w:rsidP="00D37BE1">
      <w:pPr>
        <w:spacing w:line="600" w:lineRule="exact"/>
        <w:ind w:left="640" w:firstLineChars="0" w:firstLine="0"/>
        <w:rPr>
          <w:rFonts w:ascii="黑体" w:eastAsia="黑体" w:hAnsi="黑体"/>
        </w:rPr>
      </w:pPr>
      <w:bookmarkStart w:id="3" w:name="_Toc63846548"/>
      <w:bookmarkStart w:id="4" w:name="_Toc66117635"/>
      <w:r>
        <w:rPr>
          <w:rFonts w:ascii="黑体" w:eastAsia="黑体" w:hAnsi="黑体" w:hint="eastAsia"/>
        </w:rPr>
        <w:t>二、</w:t>
      </w:r>
      <w:r w:rsidR="002A292E" w:rsidRPr="00F63A03">
        <w:rPr>
          <w:rFonts w:ascii="黑体" w:eastAsia="黑体" w:hAnsi="黑体" w:hint="eastAsia"/>
        </w:rPr>
        <w:t>房地产审判</w:t>
      </w:r>
      <w:r w:rsidR="00025425">
        <w:rPr>
          <w:rFonts w:ascii="黑体" w:eastAsia="黑体" w:hAnsi="黑体" w:hint="eastAsia"/>
        </w:rPr>
        <w:t>主要</w:t>
      </w:r>
      <w:r w:rsidR="00025425" w:rsidRPr="00F63A03">
        <w:rPr>
          <w:rFonts w:ascii="黑体" w:eastAsia="黑体" w:hAnsi="黑体" w:hint="eastAsia"/>
        </w:rPr>
        <w:t>工作</w:t>
      </w:r>
      <w:r w:rsidR="002A292E" w:rsidRPr="00F63A03">
        <w:rPr>
          <w:rFonts w:ascii="黑体" w:eastAsia="黑体" w:hAnsi="黑体" w:hint="eastAsia"/>
        </w:rPr>
        <w:t>举措</w:t>
      </w:r>
      <w:bookmarkStart w:id="5" w:name="_Toc66117636"/>
      <w:bookmarkStart w:id="6" w:name="_Toc63846549"/>
      <w:bookmarkEnd w:id="3"/>
      <w:bookmarkEnd w:id="4"/>
    </w:p>
    <w:bookmarkEnd w:id="5"/>
    <w:bookmarkEnd w:id="6"/>
    <w:p w:rsidR="007442A0" w:rsidRPr="005F15DB" w:rsidRDefault="00CA2A8B" w:rsidP="005F15DB">
      <w:pPr>
        <w:widowControl/>
        <w:spacing w:line="600" w:lineRule="exact"/>
        <w:ind w:firstLine="640"/>
        <w:jc w:val="left"/>
        <w:rPr>
          <w:rFonts w:ascii="楷体" w:eastAsia="楷体" w:hAnsi="楷体"/>
        </w:rPr>
      </w:pPr>
      <w:r w:rsidRPr="0062348A">
        <w:rPr>
          <w:rFonts w:ascii="楷体" w:eastAsia="楷体" w:hAnsi="楷体"/>
        </w:rPr>
        <w:t>1.</w:t>
      </w:r>
      <w:r w:rsidR="005B35B8" w:rsidRPr="0062348A">
        <w:rPr>
          <w:rFonts w:ascii="楷体" w:eastAsia="楷体" w:hAnsi="楷体" w:hint="eastAsia"/>
        </w:rPr>
        <w:t>强化市场风险预防化解</w:t>
      </w:r>
      <w:r w:rsidR="005F15DB">
        <w:rPr>
          <w:rFonts w:ascii="楷体" w:eastAsia="楷体" w:hAnsi="楷体" w:hint="eastAsia"/>
        </w:rPr>
        <w:t>。</w:t>
      </w:r>
      <w:r w:rsidRPr="00CA2A8B">
        <w:rPr>
          <w:rFonts w:ascii="仿宋" w:hAnsi="仿宋" w:hint="eastAsia"/>
        </w:rPr>
        <w:t>坚持“房子是用来住的</w:t>
      </w:r>
      <w:r w:rsidR="00BD76CA">
        <w:rPr>
          <w:rFonts w:ascii="仿宋" w:hAnsi="仿宋" w:hint="eastAsia"/>
        </w:rPr>
        <w:t>、</w:t>
      </w:r>
      <w:r w:rsidRPr="00CA2A8B">
        <w:rPr>
          <w:rFonts w:ascii="仿宋" w:hAnsi="仿宋" w:hint="eastAsia"/>
        </w:rPr>
        <w:t>不是用来炒的”定位，</w:t>
      </w:r>
      <w:r w:rsidR="008439A1" w:rsidRPr="00CA2A8B">
        <w:rPr>
          <w:rFonts w:ascii="仿宋" w:hAnsi="仿宋" w:hint="eastAsia"/>
        </w:rPr>
        <w:t>依法妥善审理</w:t>
      </w:r>
      <w:r w:rsidR="008439A1">
        <w:rPr>
          <w:rFonts w:ascii="仿宋" w:hAnsi="仿宋" w:hint="eastAsia"/>
        </w:rPr>
        <w:t>涉</w:t>
      </w:r>
      <w:r w:rsidR="008439A1" w:rsidRPr="00CA2A8B">
        <w:rPr>
          <w:rFonts w:ascii="仿宋" w:hAnsi="仿宋" w:hint="eastAsia"/>
        </w:rPr>
        <w:t>房地产</w:t>
      </w:r>
      <w:r w:rsidR="008439A1">
        <w:rPr>
          <w:rFonts w:ascii="仿宋" w:hAnsi="仿宋" w:hint="eastAsia"/>
        </w:rPr>
        <w:t>相关</w:t>
      </w:r>
      <w:r w:rsidR="008439A1" w:rsidRPr="00CA2A8B">
        <w:rPr>
          <w:rFonts w:ascii="仿宋" w:hAnsi="仿宋" w:hint="eastAsia"/>
        </w:rPr>
        <w:t>纠纷案件，</w:t>
      </w:r>
      <w:r w:rsidRPr="00CA2A8B">
        <w:rPr>
          <w:rFonts w:ascii="仿宋" w:hAnsi="仿宋" w:hint="eastAsia"/>
        </w:rPr>
        <w:t>防范</w:t>
      </w:r>
      <w:r w:rsidRPr="008439A1">
        <w:rPr>
          <w:rFonts w:ascii="仿宋" w:hAnsi="仿宋" w:hint="eastAsia"/>
        </w:rPr>
        <w:t>炒地</w:t>
      </w:r>
      <w:r w:rsidRPr="00CA2A8B">
        <w:rPr>
          <w:rFonts w:ascii="仿宋" w:hAnsi="仿宋" w:hint="eastAsia"/>
        </w:rPr>
        <w:t>炒房投机行为，引导房产交易回归居住属性。落实中央</w:t>
      </w:r>
      <w:r w:rsidR="00264042">
        <w:rPr>
          <w:rFonts w:ascii="仿宋" w:hAnsi="仿宋" w:hint="eastAsia"/>
        </w:rPr>
        <w:t>关于“</w:t>
      </w:r>
      <w:r w:rsidRPr="00CA2A8B">
        <w:rPr>
          <w:rFonts w:ascii="仿宋" w:hAnsi="仿宋" w:hint="eastAsia"/>
        </w:rPr>
        <w:t>加快建立多主体供给、多渠道保障、租购并举的住房制度</w:t>
      </w:r>
      <w:r w:rsidR="00264042">
        <w:rPr>
          <w:rFonts w:ascii="仿宋" w:hAnsi="仿宋" w:hint="eastAsia"/>
        </w:rPr>
        <w:t>”</w:t>
      </w:r>
      <w:r w:rsidRPr="00CA2A8B">
        <w:rPr>
          <w:rFonts w:ascii="仿宋" w:hAnsi="仿宋" w:hint="eastAsia"/>
        </w:rPr>
        <w:t>要求，坚持租购同权，依法保护房屋承租人的优先承租权。准确把握民法典关于居住权的立法目的与成立条件，依法妥善审理涉居住权案件，充分发挥居住权扶弱、施惠的社会保障功能，保护弱势群体的居住权益。</w:t>
      </w:r>
      <w:r w:rsidR="007E4E11" w:rsidRPr="007E4E11">
        <w:rPr>
          <w:rFonts w:ascii="仿宋" w:hAnsi="仿宋" w:hint="eastAsia"/>
        </w:rPr>
        <w:t>严格规范房地产案件保全措施，对商品房预售资金监管账户、农民工工资专</w:t>
      </w:r>
      <w:r w:rsidR="00265B02">
        <w:rPr>
          <w:rFonts w:ascii="仿宋" w:hAnsi="仿宋" w:hint="eastAsia"/>
        </w:rPr>
        <w:t>用账户和工资保证金账户内资金依法审慎采取保全、执行措施，支持</w:t>
      </w:r>
      <w:r w:rsidR="007E4E11" w:rsidRPr="007E4E11">
        <w:rPr>
          <w:rFonts w:ascii="仿宋" w:hAnsi="仿宋" w:hint="eastAsia"/>
        </w:rPr>
        <w:t>相关部门防范应对房地产项目逾期交付风险，确保工程进度款和农民工工资按时拨付到位。</w:t>
      </w:r>
      <w:r w:rsidR="00514691" w:rsidRPr="00514691">
        <w:rPr>
          <w:rFonts w:ascii="仿宋" w:hAnsi="仿宋" w:hint="eastAsia"/>
        </w:rPr>
        <w:t>妥善化解涉“问题楼盘”等矛盾纠纷</w:t>
      </w:r>
      <w:r w:rsidR="00CB7E40" w:rsidRPr="00D301FD">
        <w:rPr>
          <w:rFonts w:ascii="仿宋" w:hAnsi="仿宋" w:hint="eastAsia"/>
        </w:rPr>
        <w:t>，</w:t>
      </w:r>
      <w:r w:rsidR="00D301FD">
        <w:rPr>
          <w:rFonts w:ascii="仿宋" w:hAnsi="仿宋" w:hint="eastAsia"/>
        </w:rPr>
        <w:t>推进</w:t>
      </w:r>
      <w:r w:rsidR="00514691">
        <w:rPr>
          <w:rFonts w:ascii="仿宋" w:hAnsi="仿宋" w:hint="eastAsia"/>
        </w:rPr>
        <w:t>“</w:t>
      </w:r>
      <w:r w:rsidR="00514691">
        <w:rPr>
          <w:rFonts w:ascii="仿宋" w:hAnsi="仿宋" w:cs="仿宋" w:hint="eastAsia"/>
          <w:szCs w:val="32"/>
        </w:rPr>
        <w:t>保交楼、保民生、保稳定</w:t>
      </w:r>
      <w:r w:rsidR="00514691">
        <w:rPr>
          <w:rFonts w:ascii="仿宋" w:hAnsi="仿宋" w:hint="eastAsia"/>
        </w:rPr>
        <w:t>”</w:t>
      </w:r>
      <w:r w:rsidR="00D301FD">
        <w:rPr>
          <w:rFonts w:ascii="仿宋" w:hAnsi="仿宋" w:cs="仿宋" w:hint="eastAsia"/>
          <w:szCs w:val="32"/>
        </w:rPr>
        <w:t>工作</w:t>
      </w:r>
      <w:r w:rsidR="00926C6F">
        <w:rPr>
          <w:rFonts w:ascii="仿宋" w:hAnsi="仿宋" w:cs="仿宋" w:hint="eastAsia"/>
          <w:szCs w:val="32"/>
        </w:rPr>
        <w:t>。</w:t>
      </w:r>
      <w:r w:rsidR="00265B02">
        <w:rPr>
          <w:rFonts w:ascii="仿宋" w:hAnsi="仿宋" w:cs="仿宋" w:hint="eastAsia"/>
          <w:szCs w:val="32"/>
        </w:rPr>
        <w:t>针</w:t>
      </w:r>
      <w:r w:rsidR="00265B02">
        <w:rPr>
          <w:rFonts w:ascii="仿宋_GB2312" w:hAnsi="仿宋_GB2312" w:cs="仿宋_GB2312"/>
          <w:szCs w:val="32"/>
        </w:rPr>
        <w:t>对</w:t>
      </w:r>
      <w:r w:rsidR="00DF33E9">
        <w:rPr>
          <w:rFonts w:ascii="仿宋_GB2312" w:hAnsi="仿宋_GB2312" w:cs="仿宋_GB2312"/>
          <w:szCs w:val="32"/>
        </w:rPr>
        <w:t>业主批量诉讼、施工企业索要工程款</w:t>
      </w:r>
      <w:r w:rsidR="00882F76">
        <w:rPr>
          <w:rFonts w:ascii="仿宋_GB2312" w:hAnsi="仿宋_GB2312" w:cs="仿宋_GB2312" w:hint="eastAsia"/>
          <w:szCs w:val="32"/>
        </w:rPr>
        <w:t>等情况</w:t>
      </w:r>
      <w:r w:rsidR="00DF33E9">
        <w:rPr>
          <w:rFonts w:ascii="仿宋_GB2312" w:hAnsi="仿宋_GB2312" w:cs="仿宋_GB2312"/>
          <w:szCs w:val="32"/>
        </w:rPr>
        <w:t>，</w:t>
      </w:r>
      <w:r w:rsidR="00882F76">
        <w:rPr>
          <w:rFonts w:ascii="仿宋_GB2312" w:hAnsi="仿宋_GB2312" w:cs="仿宋_GB2312" w:hint="eastAsia"/>
          <w:szCs w:val="32"/>
        </w:rPr>
        <w:t>加强与金融机构、住建部门的沟通协调，</w:t>
      </w:r>
      <w:r w:rsidR="00882F76">
        <w:rPr>
          <w:rFonts w:ascii="仿宋_GB2312" w:hAnsi="仿宋_GB2312" w:cs="仿宋_GB2312"/>
          <w:szCs w:val="32"/>
        </w:rPr>
        <w:t>加</w:t>
      </w:r>
      <w:r w:rsidR="00882F76">
        <w:rPr>
          <w:rFonts w:ascii="仿宋_GB2312" w:hAnsi="仿宋_GB2312" w:cs="仿宋_GB2312" w:hint="eastAsia"/>
          <w:szCs w:val="32"/>
        </w:rPr>
        <w:t>大</w:t>
      </w:r>
      <w:r w:rsidR="00DF33E9">
        <w:rPr>
          <w:rFonts w:ascii="仿宋_GB2312" w:hAnsi="仿宋_GB2312" w:cs="仿宋_GB2312"/>
          <w:szCs w:val="32"/>
        </w:rPr>
        <w:t>对</w:t>
      </w:r>
      <w:r w:rsidR="00DF33E9">
        <w:rPr>
          <w:rFonts w:ascii="仿宋_GB2312" w:hAnsi="仿宋_GB2312" w:cs="仿宋_GB2312"/>
          <w:szCs w:val="32"/>
        </w:rPr>
        <w:t>“</w:t>
      </w:r>
      <w:r w:rsidR="00DF33E9">
        <w:rPr>
          <w:rFonts w:ascii="仿宋_GB2312" w:hAnsi="仿宋_GB2312" w:cs="仿宋_GB2312"/>
          <w:szCs w:val="32"/>
        </w:rPr>
        <w:t>问题楼盘</w:t>
      </w:r>
      <w:r w:rsidR="00DF33E9">
        <w:rPr>
          <w:rFonts w:ascii="仿宋_GB2312" w:hAnsi="仿宋_GB2312" w:cs="仿宋_GB2312"/>
          <w:szCs w:val="32"/>
        </w:rPr>
        <w:t>”</w:t>
      </w:r>
      <w:r w:rsidR="00DF33E9">
        <w:rPr>
          <w:rFonts w:ascii="仿宋_GB2312" w:hAnsi="仿宋_GB2312" w:cs="仿宋_GB2312"/>
          <w:szCs w:val="32"/>
        </w:rPr>
        <w:t>涉及的交房办证、引资续建等</w:t>
      </w:r>
      <w:r w:rsidR="00882F76">
        <w:rPr>
          <w:rFonts w:ascii="仿宋_GB2312" w:hAnsi="仿宋_GB2312" w:cs="仿宋_GB2312" w:hint="eastAsia"/>
          <w:szCs w:val="32"/>
        </w:rPr>
        <w:t>相关</w:t>
      </w:r>
      <w:r w:rsidR="00DF33E9">
        <w:rPr>
          <w:rFonts w:ascii="仿宋_GB2312" w:hAnsi="仿宋_GB2312" w:cs="仿宋_GB2312"/>
          <w:szCs w:val="32"/>
        </w:rPr>
        <w:t>矛盾纠纷的</w:t>
      </w:r>
      <w:r w:rsidR="00882F76">
        <w:rPr>
          <w:rFonts w:ascii="仿宋_GB2312" w:hAnsi="仿宋_GB2312" w:cs="仿宋_GB2312" w:hint="eastAsia"/>
          <w:szCs w:val="32"/>
        </w:rPr>
        <w:t>处置力度</w:t>
      </w:r>
      <w:r w:rsidR="00DF33E9">
        <w:rPr>
          <w:rFonts w:ascii="仿宋_GB2312" w:hAnsi="仿宋_GB2312" w:cs="仿宋_GB2312"/>
          <w:szCs w:val="32"/>
        </w:rPr>
        <w:t>。</w:t>
      </w:r>
    </w:p>
    <w:p w:rsidR="00C45766" w:rsidRPr="00961B56" w:rsidRDefault="00CA2A8B" w:rsidP="00AA0D84">
      <w:pPr>
        <w:widowControl/>
        <w:spacing w:line="600" w:lineRule="exact"/>
        <w:ind w:firstLine="640"/>
        <w:jc w:val="left"/>
        <w:rPr>
          <w:rFonts w:ascii="仿宋" w:hAnsi="仿宋"/>
          <w:szCs w:val="32"/>
        </w:rPr>
      </w:pPr>
      <w:r w:rsidRPr="0062348A">
        <w:rPr>
          <w:rFonts w:ascii="楷体" w:eastAsia="楷体" w:hAnsi="楷体"/>
        </w:rPr>
        <w:t>2</w:t>
      </w:r>
      <w:r w:rsidR="002A292E" w:rsidRPr="0062348A">
        <w:rPr>
          <w:rFonts w:ascii="楷体" w:eastAsia="楷体" w:hAnsi="楷体"/>
        </w:rPr>
        <w:t>.</w:t>
      </w:r>
      <w:r w:rsidR="00C45766" w:rsidRPr="0062348A">
        <w:rPr>
          <w:rFonts w:ascii="楷体" w:eastAsia="楷体" w:hAnsi="楷体" w:hint="eastAsia"/>
        </w:rPr>
        <w:t>构建协调联动工作机制</w:t>
      </w:r>
      <w:bookmarkStart w:id="7" w:name="_Toc66117638"/>
      <w:r w:rsidR="00AA0D84">
        <w:rPr>
          <w:rFonts w:ascii="仿宋" w:hAnsi="仿宋" w:hint="eastAsia"/>
          <w:szCs w:val="32"/>
        </w:rPr>
        <w:t>。</w:t>
      </w:r>
      <w:r w:rsidR="00C45766">
        <w:rPr>
          <w:rFonts w:ascii="仿宋" w:hAnsi="仿宋" w:hint="eastAsia"/>
          <w:szCs w:val="32"/>
        </w:rPr>
        <w:t>受疫情等多重因素叠加影响，全市房地产市场面临一定压力，部分房地产项目的开发建设、销售和交付等出现了不同程度的问题。为促进全市房地产市场平稳健康发展，市中院与市住建局签订《强化风险预防化解促进房地产市场平稳健康发展共建协议》，</w:t>
      </w:r>
      <w:r w:rsidR="00C45766" w:rsidRPr="0062348A">
        <w:rPr>
          <w:rFonts w:ascii="仿宋" w:hAnsi="仿宋" w:hint="eastAsia"/>
          <w:szCs w:val="32"/>
        </w:rPr>
        <w:t>建立工作协调联络机制</w:t>
      </w:r>
      <w:r w:rsidR="00961B56">
        <w:rPr>
          <w:rFonts w:ascii="仿宋" w:hAnsi="仿宋" w:hint="eastAsia"/>
          <w:szCs w:val="32"/>
        </w:rPr>
        <w:t>，</w:t>
      </w:r>
      <w:r w:rsidR="00C45766" w:rsidRPr="00961B56">
        <w:rPr>
          <w:rFonts w:ascii="仿宋" w:hAnsi="仿宋" w:hint="eastAsia"/>
          <w:szCs w:val="32"/>
        </w:rPr>
        <w:t>每季度定期召开房地产工作联席会议，分析研判房地产市场的新问题、新情况和新风险</w:t>
      </w:r>
      <w:r w:rsidR="00961B56">
        <w:rPr>
          <w:rFonts w:ascii="仿宋" w:hAnsi="仿宋" w:hint="eastAsia"/>
          <w:szCs w:val="32"/>
        </w:rPr>
        <w:t>；</w:t>
      </w:r>
      <w:r w:rsidR="00C45766" w:rsidRPr="0062348A">
        <w:rPr>
          <w:rFonts w:ascii="仿宋" w:hAnsi="仿宋" w:hint="eastAsia"/>
          <w:szCs w:val="32"/>
        </w:rPr>
        <w:t>建立群体性纠纷联动化解机制</w:t>
      </w:r>
      <w:r w:rsidR="00961B56">
        <w:rPr>
          <w:rFonts w:ascii="仿宋" w:hAnsi="仿宋" w:hint="eastAsia"/>
          <w:szCs w:val="32"/>
        </w:rPr>
        <w:t>，</w:t>
      </w:r>
      <w:r w:rsidR="00C45766" w:rsidRPr="00961B56">
        <w:rPr>
          <w:rFonts w:ascii="仿宋" w:hAnsi="仿宋" w:hint="eastAsia"/>
          <w:szCs w:val="32"/>
        </w:rPr>
        <w:t>加强逾期交房和逾期办证等群体性纠纷的排查工作，推动类型化群体性纠纷预防化解平台建设，有效防范群体性纠纷发生</w:t>
      </w:r>
      <w:r w:rsidR="00961B56">
        <w:rPr>
          <w:rFonts w:ascii="仿宋" w:hAnsi="仿宋" w:hint="eastAsia"/>
          <w:szCs w:val="32"/>
        </w:rPr>
        <w:t>；</w:t>
      </w:r>
      <w:r w:rsidR="00C45766" w:rsidRPr="0062348A">
        <w:rPr>
          <w:rFonts w:ascii="仿宋" w:hAnsi="仿宋" w:hint="eastAsia"/>
          <w:szCs w:val="32"/>
        </w:rPr>
        <w:t>建立应急处置联动机制</w:t>
      </w:r>
      <w:r w:rsidR="00961B56">
        <w:rPr>
          <w:rFonts w:ascii="仿宋" w:hAnsi="仿宋" w:hint="eastAsia"/>
          <w:szCs w:val="32"/>
        </w:rPr>
        <w:t>，</w:t>
      </w:r>
      <w:r w:rsidR="00C45766" w:rsidRPr="00961B56">
        <w:rPr>
          <w:rFonts w:ascii="仿宋" w:hAnsi="仿宋" w:hint="eastAsia"/>
          <w:szCs w:val="32"/>
        </w:rPr>
        <w:t>加强对房地产市场的监测分析和预警提示，对易激化矛盾、引发群体性纠纷或舆论关注的重大疑难、突发性房地产纠纷，</w:t>
      </w:r>
      <w:r w:rsidR="00961B56">
        <w:rPr>
          <w:rFonts w:ascii="仿宋" w:hAnsi="仿宋" w:hint="eastAsia"/>
          <w:szCs w:val="32"/>
        </w:rPr>
        <w:t>双方</w:t>
      </w:r>
      <w:r w:rsidR="00C45766" w:rsidRPr="00961B56">
        <w:rPr>
          <w:rFonts w:ascii="仿宋" w:hAnsi="仿宋" w:hint="eastAsia"/>
          <w:szCs w:val="32"/>
        </w:rPr>
        <w:t>及时相互</w:t>
      </w:r>
      <w:r w:rsidR="00961B56">
        <w:rPr>
          <w:rFonts w:ascii="仿宋" w:hAnsi="仿宋" w:hint="eastAsia"/>
          <w:szCs w:val="32"/>
        </w:rPr>
        <w:t>通报</w:t>
      </w:r>
      <w:r w:rsidR="00C45766" w:rsidRPr="00961B56">
        <w:rPr>
          <w:rFonts w:ascii="仿宋" w:hAnsi="仿宋" w:hint="eastAsia"/>
          <w:szCs w:val="32"/>
        </w:rPr>
        <w:t>、相互沟通，必要时互派专门人员进行协调处理</w:t>
      </w:r>
      <w:r w:rsidR="00D7079C">
        <w:rPr>
          <w:rFonts w:ascii="仿宋" w:hAnsi="仿宋" w:hint="eastAsia"/>
          <w:szCs w:val="32"/>
        </w:rPr>
        <w:t>；</w:t>
      </w:r>
      <w:r w:rsidR="00C45766" w:rsidRPr="0062348A">
        <w:rPr>
          <w:rFonts w:ascii="仿宋" w:hAnsi="仿宋" w:hint="eastAsia"/>
          <w:szCs w:val="32"/>
        </w:rPr>
        <w:t>建立专家咨询机制</w:t>
      </w:r>
      <w:r w:rsidR="00D7079C">
        <w:rPr>
          <w:rFonts w:ascii="仿宋" w:hAnsi="仿宋" w:hint="eastAsia"/>
          <w:szCs w:val="32"/>
        </w:rPr>
        <w:t>，</w:t>
      </w:r>
      <w:r w:rsidR="00C45766" w:rsidRPr="00961B56">
        <w:rPr>
          <w:rFonts w:ascii="仿宋" w:hAnsi="仿宋" w:hint="eastAsia"/>
          <w:szCs w:val="32"/>
        </w:rPr>
        <w:t>共同设立房地产专家咨询库，为人民法院案件审理、行政机关行政执法提供专家咨询意见。</w:t>
      </w:r>
    </w:p>
    <w:p w:rsidR="00041C08" w:rsidRPr="00AA0D84" w:rsidRDefault="00CA2A8B" w:rsidP="00AA0D84">
      <w:pPr>
        <w:spacing w:line="600" w:lineRule="exact"/>
        <w:ind w:firstLine="640"/>
        <w:rPr>
          <w:rFonts w:ascii="楷体" w:eastAsia="楷体" w:hAnsi="楷体"/>
        </w:rPr>
      </w:pPr>
      <w:r w:rsidRPr="0062348A">
        <w:rPr>
          <w:rFonts w:ascii="楷体" w:eastAsia="楷体" w:hAnsi="楷体"/>
        </w:rPr>
        <w:t>3</w:t>
      </w:r>
      <w:r w:rsidR="00041C08" w:rsidRPr="0062348A">
        <w:rPr>
          <w:rFonts w:ascii="楷体" w:eastAsia="楷体" w:hAnsi="楷体"/>
        </w:rPr>
        <w:t>.</w:t>
      </w:r>
      <w:r w:rsidR="00041C08" w:rsidRPr="0062348A">
        <w:rPr>
          <w:rFonts w:ascii="楷体" w:eastAsia="楷体" w:hAnsi="楷体" w:hint="eastAsia"/>
        </w:rPr>
        <w:t>加强企业纾困解难工作</w:t>
      </w:r>
      <w:r w:rsidR="00AA0D84">
        <w:rPr>
          <w:rFonts w:ascii="楷体" w:eastAsia="楷体" w:hAnsi="楷体" w:hint="eastAsia"/>
        </w:rPr>
        <w:t>。</w:t>
      </w:r>
      <w:r w:rsidR="00FC70C5" w:rsidRPr="0062348A">
        <w:rPr>
          <w:rFonts w:ascii="仿宋" w:hAnsi="仿宋" w:cs="仿宋" w:hint="eastAsia"/>
          <w:szCs w:val="32"/>
        </w:rPr>
        <w:t>出台</w:t>
      </w:r>
      <w:r w:rsidR="00C86AFD" w:rsidRPr="00B454D4">
        <w:rPr>
          <w:rFonts w:ascii="仿宋" w:hAnsi="仿宋" w:cs="仿宋" w:hint="eastAsia"/>
          <w:szCs w:val="32"/>
        </w:rPr>
        <w:t>《关于</w:t>
      </w:r>
      <w:r w:rsidR="00C86AFD" w:rsidRPr="000F0D14">
        <w:rPr>
          <w:rFonts w:ascii="仿宋" w:hAnsi="仿宋" w:cs="仿宋" w:hint="eastAsia"/>
          <w:szCs w:val="32"/>
        </w:rPr>
        <w:t>充分发挥司法职能作用促进房地产市场平稳健康发展的八项举措》，</w:t>
      </w:r>
      <w:r w:rsidR="006506EF">
        <w:rPr>
          <w:rFonts w:ascii="仿宋" w:hAnsi="仿宋" w:cs="仿宋" w:hint="eastAsia"/>
          <w:szCs w:val="32"/>
        </w:rPr>
        <w:t>从破产、执行、违法行为整治等多个角度提出具体举措，</w:t>
      </w:r>
      <w:r w:rsidR="00FC70C5">
        <w:rPr>
          <w:rFonts w:ascii="仿宋" w:hAnsi="仿宋" w:cs="仿宋" w:hint="eastAsia"/>
          <w:szCs w:val="32"/>
        </w:rPr>
        <w:t>有效应对当前房地产市场发展面临的问题</w:t>
      </w:r>
      <w:r w:rsidR="00C86AFD" w:rsidRPr="000F0D14">
        <w:rPr>
          <w:rFonts w:ascii="仿宋" w:hAnsi="仿宋" w:cs="仿宋" w:hint="eastAsia"/>
          <w:szCs w:val="32"/>
        </w:rPr>
        <w:t>。</w:t>
      </w:r>
      <w:r w:rsidR="00041C08">
        <w:rPr>
          <w:rFonts w:ascii="仿宋" w:hAnsi="仿宋" w:hint="eastAsia"/>
          <w:szCs w:val="32"/>
        </w:rPr>
        <w:t>妥善处理疫情引发的逾期交房等房地产纠纷案件，准确适用不可抗力或情势变更规则对交房期限等进行合理调整。</w:t>
      </w:r>
      <w:r w:rsidR="00033EC2" w:rsidRPr="00947FF3">
        <w:rPr>
          <w:rFonts w:ascii="仿宋" w:hAnsi="仿宋" w:cs="仿宋" w:hint="eastAsia"/>
          <w:szCs w:val="32"/>
        </w:rPr>
        <w:t>发布《涉疫情法律问答（民事）》，对因疫情产生的建设工程施工合同纠纷、房屋买卖合同纠纷</w:t>
      </w:r>
      <w:r w:rsidR="009F0EC1">
        <w:rPr>
          <w:rFonts w:ascii="仿宋" w:hAnsi="仿宋" w:cs="仿宋" w:hint="eastAsia"/>
          <w:szCs w:val="32"/>
        </w:rPr>
        <w:t>处理</w:t>
      </w:r>
      <w:r w:rsidR="00E616AA">
        <w:rPr>
          <w:rFonts w:ascii="仿宋" w:hAnsi="仿宋" w:cs="仿宋" w:hint="eastAsia"/>
          <w:szCs w:val="32"/>
        </w:rPr>
        <w:t>提供法律指引</w:t>
      </w:r>
      <w:r w:rsidR="00033EC2" w:rsidRPr="00947FF3">
        <w:rPr>
          <w:rFonts w:ascii="仿宋" w:hAnsi="仿宋" w:cs="仿宋" w:hint="eastAsia"/>
          <w:szCs w:val="32"/>
        </w:rPr>
        <w:t>，</w:t>
      </w:r>
      <w:r w:rsidR="0077139E">
        <w:rPr>
          <w:rFonts w:ascii="仿宋" w:hAnsi="仿宋" w:cs="仿宋" w:hint="eastAsia"/>
          <w:szCs w:val="32"/>
        </w:rPr>
        <w:t>预防和减少争议发生</w:t>
      </w:r>
      <w:r w:rsidR="00033EC2" w:rsidRPr="00947FF3">
        <w:rPr>
          <w:rFonts w:ascii="仿宋" w:hAnsi="仿宋" w:cs="仿宋" w:hint="eastAsia"/>
          <w:szCs w:val="32"/>
        </w:rPr>
        <w:t>。</w:t>
      </w:r>
      <w:r w:rsidR="00041C08" w:rsidRPr="0062348A">
        <w:rPr>
          <w:rFonts w:ascii="仿宋" w:hAnsi="仿宋" w:cs="仿宋" w:hint="eastAsia"/>
          <w:szCs w:val="32"/>
        </w:rPr>
        <w:t>落实</w:t>
      </w:r>
      <w:r w:rsidR="00041C08" w:rsidRPr="0062348A">
        <w:rPr>
          <w:rFonts w:ascii="仿宋" w:hAnsi="仿宋" w:cs="仿宋"/>
          <w:szCs w:val="32"/>
        </w:rPr>
        <w:t>司法惠企政策</w:t>
      </w:r>
      <w:r w:rsidR="0056571C" w:rsidRPr="00AB4528">
        <w:rPr>
          <w:rFonts w:ascii="仿宋" w:hAnsi="仿宋" w:cs="仿宋" w:hint="eastAsia"/>
          <w:szCs w:val="32"/>
        </w:rPr>
        <w:t>，</w:t>
      </w:r>
      <w:r w:rsidR="00041C08">
        <w:rPr>
          <w:rFonts w:ascii="仿宋" w:hAnsi="仿宋" w:cs="仿宋"/>
          <w:szCs w:val="32"/>
        </w:rPr>
        <w:t>妥善处理因疫情引发的</w:t>
      </w:r>
      <w:r w:rsidR="00041C08">
        <w:rPr>
          <w:rFonts w:ascii="仿宋" w:hAnsi="仿宋" w:cs="仿宋" w:hint="eastAsia"/>
          <w:szCs w:val="32"/>
        </w:rPr>
        <w:t>商业租赁合同纠纷</w:t>
      </w:r>
      <w:r w:rsidR="00041C08">
        <w:rPr>
          <w:rFonts w:ascii="仿宋" w:hAnsi="仿宋" w:cs="仿宋"/>
          <w:szCs w:val="32"/>
        </w:rPr>
        <w:t>，帮助受疫情严重冲击的行业、中小微企业和个体工商户纾困解难。</w:t>
      </w:r>
      <w:r w:rsidR="00AB4528">
        <w:rPr>
          <w:rFonts w:ascii="仿宋" w:hAnsi="仿宋" w:cs="仿宋" w:hint="eastAsia"/>
          <w:szCs w:val="32"/>
        </w:rPr>
        <w:t>1起案件</w:t>
      </w:r>
      <w:r w:rsidR="000C2FBA" w:rsidRPr="00FD0819">
        <w:rPr>
          <w:rFonts w:ascii="仿宋" w:hAnsi="仿宋" w:cs="仿宋" w:hint="eastAsia"/>
          <w:szCs w:val="32"/>
        </w:rPr>
        <w:t>入选</w:t>
      </w:r>
      <w:r w:rsidR="00AB4528">
        <w:rPr>
          <w:rFonts w:ascii="仿宋" w:hAnsi="仿宋" w:cs="仿宋" w:hint="eastAsia"/>
          <w:szCs w:val="32"/>
        </w:rPr>
        <w:t>全省</w:t>
      </w:r>
      <w:r w:rsidR="000C2FBA" w:rsidRPr="00FD0819">
        <w:rPr>
          <w:rFonts w:ascii="仿宋" w:hAnsi="仿宋" w:cs="仿宋" w:hint="eastAsia"/>
          <w:szCs w:val="32"/>
        </w:rPr>
        <w:t>法院助力中小微企业发展优化营商环境典型案例</w:t>
      </w:r>
      <w:r w:rsidR="000C2FBA">
        <w:rPr>
          <w:rFonts w:ascii="仿宋" w:hAnsi="仿宋" w:cs="仿宋" w:hint="eastAsia"/>
          <w:szCs w:val="32"/>
        </w:rPr>
        <w:t>。</w:t>
      </w:r>
      <w:r w:rsidR="00041C08" w:rsidRPr="0062348A">
        <w:rPr>
          <w:rFonts w:ascii="仿宋" w:hAnsi="仿宋" w:hint="eastAsia"/>
          <w:szCs w:val="32"/>
        </w:rPr>
        <w:t>畅通执行绿色通道</w:t>
      </w:r>
      <w:r w:rsidR="005422CA">
        <w:rPr>
          <w:rFonts w:ascii="仿宋" w:hAnsi="仿宋" w:hint="eastAsia"/>
          <w:szCs w:val="32"/>
        </w:rPr>
        <w:t>，</w:t>
      </w:r>
      <w:r w:rsidR="00041C08" w:rsidRPr="005422CA">
        <w:rPr>
          <w:rFonts w:ascii="仿宋" w:hAnsi="仿宋" w:hint="eastAsia"/>
          <w:szCs w:val="32"/>
        </w:rPr>
        <w:t>对受疫情影响的房地产企业申请执行的案件，予以优先</w:t>
      </w:r>
      <w:r w:rsidR="00041C08">
        <w:rPr>
          <w:rFonts w:ascii="仿宋" w:hAnsi="仿宋" w:cs="仿宋" w:hint="eastAsia"/>
          <w:szCs w:val="32"/>
        </w:rPr>
        <w:t>立案、优先执行、优先发放案款，加速胜诉权益兑现。</w:t>
      </w:r>
      <w:r w:rsidR="00962B02">
        <w:rPr>
          <w:rFonts w:ascii="仿宋" w:hAnsi="仿宋" w:hint="eastAsia"/>
          <w:szCs w:val="32"/>
        </w:rPr>
        <w:t>创新破产审判思路，构建“预重整+预破产”的“双预模式”，助力房地产企业渡过难关。</w:t>
      </w:r>
    </w:p>
    <w:p w:rsidR="00B70412" w:rsidRPr="00AA0D84" w:rsidRDefault="00D33B95" w:rsidP="00AA0D84">
      <w:pPr>
        <w:spacing w:line="600" w:lineRule="exact"/>
        <w:ind w:firstLine="640"/>
        <w:rPr>
          <w:rFonts w:ascii="楷体" w:eastAsia="楷体" w:hAnsi="楷体"/>
          <w:szCs w:val="32"/>
        </w:rPr>
      </w:pPr>
      <w:bookmarkStart w:id="8" w:name="_Toc66117645"/>
      <w:bookmarkStart w:id="9" w:name="_Toc63846559"/>
      <w:bookmarkEnd w:id="7"/>
      <w:r w:rsidRPr="0062348A">
        <w:rPr>
          <w:rFonts w:ascii="楷体" w:eastAsia="楷体" w:hAnsi="楷体"/>
          <w:szCs w:val="32"/>
        </w:rPr>
        <w:t>4.</w:t>
      </w:r>
      <w:r w:rsidRPr="0062348A">
        <w:rPr>
          <w:rFonts w:ascii="楷体" w:eastAsia="楷体" w:hAnsi="楷体" w:hint="eastAsia"/>
          <w:szCs w:val="32"/>
        </w:rPr>
        <w:t>营造规范有序市场环境</w:t>
      </w:r>
      <w:r w:rsidR="00AA0D84">
        <w:rPr>
          <w:rFonts w:ascii="楷体" w:eastAsia="楷体" w:hAnsi="楷体" w:hint="eastAsia"/>
          <w:szCs w:val="32"/>
        </w:rPr>
        <w:t>。</w:t>
      </w:r>
      <w:r w:rsidR="00900743" w:rsidRPr="00900743">
        <w:rPr>
          <w:rFonts w:hint="eastAsia"/>
        </w:rPr>
        <w:t>充分发挥民事审判立“明规则”、破“潜规则”的指引作用，对房地产中介服务企业发布虚假房源信息、隐瞒真实交易信息、泄露或不当使用委托人个人信息、低价收进高价卖（租）出赚取差价等行为予以严格规制</w:t>
      </w:r>
      <w:r w:rsidR="00900743" w:rsidRPr="0062348A">
        <w:rPr>
          <w:rFonts w:ascii="仿宋" w:hAnsi="仿宋" w:hint="eastAsia"/>
        </w:rPr>
        <w:t>，</w:t>
      </w:r>
      <w:r w:rsidR="00585E8B" w:rsidRPr="0062348A">
        <w:rPr>
          <w:rFonts w:ascii="仿宋" w:hAnsi="仿宋" w:hint="eastAsia"/>
        </w:rPr>
        <w:t>营造诚信守法的市场环境</w:t>
      </w:r>
      <w:r w:rsidR="0086290F" w:rsidRPr="0062348A">
        <w:rPr>
          <w:rFonts w:ascii="仿宋" w:hAnsi="仿宋" w:hint="eastAsia"/>
        </w:rPr>
        <w:t>，</w:t>
      </w:r>
      <w:r w:rsidR="0086290F">
        <w:rPr>
          <w:rFonts w:hint="eastAsia"/>
        </w:rPr>
        <w:t>让人民群众放心购房、放心租房</w:t>
      </w:r>
      <w:r w:rsidR="00900743" w:rsidRPr="00900743">
        <w:rPr>
          <w:rFonts w:hint="eastAsia"/>
        </w:rPr>
        <w:t>。根据诚实信用原则审慎把握合同解除条件，对违约程度显著轻微</w:t>
      </w:r>
      <w:r w:rsidR="00696935">
        <w:rPr>
          <w:rFonts w:hint="eastAsia"/>
        </w:rPr>
        <w:t>、</w:t>
      </w:r>
      <w:r w:rsidR="00900743" w:rsidRPr="00900743">
        <w:rPr>
          <w:rFonts w:hint="eastAsia"/>
        </w:rPr>
        <w:t>不影响合同目的实现，守约方请求解除合同的，</w:t>
      </w:r>
      <w:r w:rsidR="004012F9">
        <w:rPr>
          <w:rFonts w:hint="eastAsia"/>
        </w:rPr>
        <w:t>依法不予支持，维护市场交易稳定</w:t>
      </w:r>
      <w:r w:rsidR="00900743" w:rsidRPr="00900743">
        <w:rPr>
          <w:rFonts w:hint="eastAsia"/>
        </w:rPr>
        <w:t>。</w:t>
      </w:r>
      <w:r w:rsidR="00B70412" w:rsidRPr="0062348A">
        <w:rPr>
          <w:rFonts w:hint="eastAsia"/>
        </w:rPr>
        <w:t>加大违法行为整治力度</w:t>
      </w:r>
      <w:r w:rsidR="001E715B">
        <w:rPr>
          <w:rFonts w:hint="eastAsia"/>
        </w:rPr>
        <w:t>，</w:t>
      </w:r>
      <w:r w:rsidR="00B70412">
        <w:rPr>
          <w:rFonts w:ascii="仿宋" w:hAnsi="仿宋" w:hint="eastAsia"/>
          <w:szCs w:val="32"/>
        </w:rPr>
        <w:t>进一步提升建筑工程违法发包、转包、违法分包及挂靠等违法线索移送反馈效率，</w:t>
      </w:r>
      <w:r w:rsidR="001E715B">
        <w:rPr>
          <w:rFonts w:ascii="仿宋" w:hAnsi="仿宋" w:hint="eastAsia"/>
          <w:szCs w:val="32"/>
        </w:rPr>
        <w:t>切实加强</w:t>
      </w:r>
      <w:r w:rsidR="00B70412">
        <w:rPr>
          <w:rFonts w:ascii="仿宋" w:hAnsi="仿宋" w:hint="eastAsia"/>
          <w:szCs w:val="32"/>
        </w:rPr>
        <w:t>对建筑市场和房地产市场的有效整治和规范。</w:t>
      </w:r>
      <w:r w:rsidR="00F96349" w:rsidRPr="00FC70C5">
        <w:rPr>
          <w:rFonts w:ascii="仿宋" w:hAnsi="仿宋" w:hint="eastAsia"/>
          <w:szCs w:val="32"/>
        </w:rPr>
        <w:t>2022年全市法院共向住建部门移送违法线索</w:t>
      </w:r>
      <w:r w:rsidR="00FC70C5" w:rsidRPr="00FC70C5">
        <w:rPr>
          <w:rFonts w:ascii="仿宋" w:hAnsi="仿宋" w:hint="eastAsia"/>
          <w:szCs w:val="32"/>
        </w:rPr>
        <w:t>75</w:t>
      </w:r>
      <w:r w:rsidR="00151219">
        <w:rPr>
          <w:rFonts w:ascii="仿宋" w:hAnsi="仿宋" w:hint="eastAsia"/>
          <w:szCs w:val="32"/>
        </w:rPr>
        <w:t>条</w:t>
      </w:r>
      <w:r w:rsidR="00935B5A" w:rsidRPr="00FC70C5">
        <w:rPr>
          <w:rFonts w:ascii="仿宋" w:hAnsi="仿宋" w:hint="eastAsia"/>
          <w:szCs w:val="32"/>
        </w:rPr>
        <w:t>，其中市中院移送31</w:t>
      </w:r>
      <w:r w:rsidR="00151219">
        <w:rPr>
          <w:rFonts w:ascii="仿宋" w:hAnsi="仿宋" w:hint="eastAsia"/>
          <w:szCs w:val="32"/>
        </w:rPr>
        <w:t>条</w:t>
      </w:r>
      <w:r w:rsidR="00935B5A" w:rsidRPr="00FC70C5">
        <w:rPr>
          <w:rFonts w:ascii="仿宋" w:hAnsi="仿宋" w:hint="eastAsia"/>
          <w:szCs w:val="32"/>
        </w:rPr>
        <w:t>，基层</w:t>
      </w:r>
      <w:r w:rsidR="001E715B">
        <w:rPr>
          <w:rFonts w:ascii="仿宋" w:hAnsi="仿宋" w:hint="eastAsia"/>
          <w:szCs w:val="32"/>
        </w:rPr>
        <w:t>人民</w:t>
      </w:r>
      <w:r w:rsidR="00935B5A" w:rsidRPr="00FC70C5">
        <w:rPr>
          <w:rFonts w:ascii="仿宋" w:hAnsi="仿宋" w:hint="eastAsia"/>
          <w:szCs w:val="32"/>
        </w:rPr>
        <w:t>法院移送</w:t>
      </w:r>
      <w:r w:rsidR="00FC70C5" w:rsidRPr="00FC70C5">
        <w:rPr>
          <w:rFonts w:ascii="仿宋" w:hAnsi="仿宋" w:hint="eastAsia"/>
          <w:szCs w:val="32"/>
        </w:rPr>
        <w:t>44</w:t>
      </w:r>
      <w:r w:rsidR="00151219">
        <w:rPr>
          <w:rFonts w:ascii="仿宋" w:hAnsi="仿宋" w:hint="eastAsia"/>
          <w:szCs w:val="32"/>
        </w:rPr>
        <w:t>条</w:t>
      </w:r>
      <w:r w:rsidR="0086290F" w:rsidRPr="00FC70C5">
        <w:rPr>
          <w:rFonts w:ascii="楷体" w:eastAsia="楷体" w:hAnsi="楷体" w:hint="eastAsia"/>
          <w:szCs w:val="32"/>
        </w:rPr>
        <w:t>。</w:t>
      </w:r>
      <w:r w:rsidR="00B70412" w:rsidRPr="0062348A">
        <w:rPr>
          <w:rFonts w:ascii="仿宋" w:hAnsi="仿宋" w:hint="eastAsia"/>
          <w:szCs w:val="32"/>
        </w:rPr>
        <w:t>探索试行先予执行制度</w:t>
      </w:r>
      <w:r w:rsidR="001E715B">
        <w:rPr>
          <w:rFonts w:ascii="仿宋" w:hAnsi="仿宋" w:hint="eastAsia"/>
          <w:szCs w:val="32"/>
        </w:rPr>
        <w:t>，</w:t>
      </w:r>
      <w:r w:rsidR="0018405E" w:rsidRPr="0018405E">
        <w:rPr>
          <w:rFonts w:ascii="仿宋" w:hAnsi="仿宋" w:hint="eastAsia"/>
          <w:szCs w:val="32"/>
        </w:rPr>
        <w:t>对房地产开发过程中建筑施工企业无合理理由</w:t>
      </w:r>
      <w:r w:rsidR="0018405E" w:rsidRPr="00EA07AF">
        <w:rPr>
          <w:rFonts w:ascii="仿宋" w:hAnsi="仿宋" w:hint="eastAsia"/>
          <w:szCs w:val="32"/>
        </w:rPr>
        <w:t>拒不配合办理竣工验收或竣工验收备案手续</w:t>
      </w:r>
      <w:r w:rsidR="0018405E" w:rsidRPr="0018405E">
        <w:rPr>
          <w:rFonts w:ascii="仿宋" w:hAnsi="仿宋" w:hint="eastAsia"/>
          <w:szCs w:val="32"/>
        </w:rPr>
        <w:t>，并可能因此逾期交房引发纠纷的情况，人民法院可在充分释明并邀请房地产专业人员、代表委员等参与听证的情况下，根据案件实际情况作出先予执行裁定，确保房地产项目顺利推进。</w:t>
      </w:r>
    </w:p>
    <w:p w:rsidR="00B30F28" w:rsidRPr="00AA0D84" w:rsidRDefault="00D33B95" w:rsidP="00AA0D84">
      <w:pPr>
        <w:spacing w:line="600" w:lineRule="exact"/>
        <w:ind w:firstLine="640"/>
        <w:rPr>
          <w:rFonts w:ascii="楷体" w:eastAsia="楷体" w:hAnsi="楷体"/>
          <w:szCs w:val="32"/>
        </w:rPr>
      </w:pPr>
      <w:r w:rsidRPr="0062348A">
        <w:rPr>
          <w:rFonts w:ascii="楷体" w:eastAsia="楷体" w:hAnsi="楷体"/>
          <w:szCs w:val="32"/>
        </w:rPr>
        <w:t>5.推动矛盾纠纷多元化解</w:t>
      </w:r>
      <w:r w:rsidR="00AA0D84">
        <w:rPr>
          <w:rFonts w:ascii="楷体" w:eastAsia="楷体" w:hAnsi="楷体" w:hint="eastAsia"/>
          <w:szCs w:val="32"/>
        </w:rPr>
        <w:t>。</w:t>
      </w:r>
      <w:r w:rsidR="00F96349">
        <w:rPr>
          <w:rFonts w:ascii="仿宋" w:hAnsi="仿宋" w:cs="仿宋" w:hint="eastAsia"/>
          <w:szCs w:val="32"/>
        </w:rPr>
        <w:t>探索构建“</w:t>
      </w:r>
      <w:r w:rsidR="00DA30BD">
        <w:rPr>
          <w:rFonts w:ascii="仿宋" w:hAnsi="仿宋" w:cs="仿宋" w:hint="eastAsia"/>
          <w:szCs w:val="32"/>
        </w:rPr>
        <w:t>非诉挺前、</w:t>
      </w:r>
      <w:r w:rsidR="00F96349">
        <w:rPr>
          <w:rFonts w:ascii="仿宋" w:hAnsi="仿宋" w:cs="仿宋" w:hint="eastAsia"/>
          <w:szCs w:val="32"/>
        </w:rPr>
        <w:t>联动配合”的解纷模式，努力推动形成人民调解、行政调解和房地产行业性专业性调解优势互补、有机衔接、协调联动</w:t>
      </w:r>
      <w:r w:rsidR="00F96349" w:rsidRPr="0062348A">
        <w:rPr>
          <w:rFonts w:ascii="仿宋" w:hAnsi="仿宋" w:cs="仿宋" w:hint="eastAsia"/>
          <w:szCs w:val="32"/>
        </w:rPr>
        <w:t>的工作格局</w:t>
      </w:r>
      <w:r w:rsidR="00F96349" w:rsidRPr="0062348A">
        <w:rPr>
          <w:rFonts w:ascii="仿宋" w:hAnsi="仿宋" w:cs="仿宋"/>
          <w:szCs w:val="32"/>
        </w:rPr>
        <w:t>。</w:t>
      </w:r>
      <w:r w:rsidR="004359F3">
        <w:rPr>
          <w:rFonts w:ascii="仿宋" w:hAnsi="仿宋" w:cs="仿宋" w:hint="eastAsia"/>
          <w:szCs w:val="32"/>
        </w:rPr>
        <w:t>市中院</w:t>
      </w:r>
      <w:r w:rsidR="002E0124">
        <w:rPr>
          <w:rFonts w:ascii="仿宋" w:hAnsi="仿宋" w:cs="仿宋" w:hint="eastAsia"/>
          <w:szCs w:val="32"/>
        </w:rPr>
        <w:t>与</w:t>
      </w:r>
      <w:r w:rsidR="004359F3">
        <w:rPr>
          <w:rFonts w:ascii="仿宋" w:hAnsi="仿宋" w:cs="仿宋" w:hint="eastAsia"/>
          <w:szCs w:val="32"/>
        </w:rPr>
        <w:t>市消保委</w:t>
      </w:r>
      <w:r w:rsidR="002E0124">
        <w:rPr>
          <w:rFonts w:ascii="仿宋" w:hAnsi="仿宋" w:cs="仿宋" w:hint="eastAsia"/>
          <w:szCs w:val="32"/>
        </w:rPr>
        <w:t>联合</w:t>
      </w:r>
      <w:r w:rsidR="004F6989">
        <w:rPr>
          <w:rFonts w:ascii="仿宋" w:hAnsi="仿宋" w:cs="仿宋" w:hint="eastAsia"/>
          <w:szCs w:val="32"/>
        </w:rPr>
        <w:t>发布</w:t>
      </w:r>
      <w:r w:rsidR="004F6989" w:rsidRPr="004F6989">
        <w:rPr>
          <w:rFonts w:ascii="仿宋" w:hAnsi="仿宋" w:cs="仿宋" w:hint="eastAsia"/>
          <w:szCs w:val="32"/>
        </w:rPr>
        <w:t>《关于消费纠纷联动化解“推动品牌升级，共促消费公平”活动的实施方案》</w:t>
      </w:r>
      <w:r w:rsidR="008303A5">
        <w:rPr>
          <w:rFonts w:ascii="仿宋" w:hAnsi="仿宋" w:cs="仿宋" w:hint="eastAsia"/>
          <w:szCs w:val="32"/>
        </w:rPr>
        <w:t>，</w:t>
      </w:r>
      <w:r w:rsidR="001516A7">
        <w:rPr>
          <w:rFonts w:ascii="仿宋" w:hAnsi="仿宋" w:cs="仿宋" w:hint="eastAsia"/>
          <w:szCs w:val="32"/>
        </w:rPr>
        <w:t>形成纠纷化解合力，</w:t>
      </w:r>
      <w:r w:rsidR="008303A5">
        <w:rPr>
          <w:rFonts w:ascii="仿宋" w:hAnsi="仿宋" w:cs="仿宋" w:hint="eastAsia"/>
          <w:szCs w:val="32"/>
        </w:rPr>
        <w:t>促进住房消费健康发展</w:t>
      </w:r>
      <w:r w:rsidR="00AA19EB">
        <w:rPr>
          <w:rFonts w:ascii="仿宋" w:hAnsi="仿宋" w:cs="仿宋" w:hint="eastAsia"/>
          <w:szCs w:val="32"/>
        </w:rPr>
        <w:t>。</w:t>
      </w:r>
      <w:r w:rsidR="00F96349">
        <w:rPr>
          <w:rFonts w:ascii="仿宋" w:hAnsi="仿宋" w:hint="eastAsia"/>
          <w:szCs w:val="32"/>
        </w:rPr>
        <w:t>积极引入工程造价协会等行业协会和专</w:t>
      </w:r>
      <w:r w:rsidR="00D7263F">
        <w:rPr>
          <w:rFonts w:ascii="仿宋" w:hAnsi="仿宋" w:hint="eastAsia"/>
          <w:szCs w:val="32"/>
        </w:rPr>
        <w:t>业人员作为特邀调解组织和特邀调解员</w:t>
      </w:r>
      <w:r w:rsidR="008E39A8">
        <w:rPr>
          <w:rFonts w:ascii="仿宋" w:hAnsi="仿宋" w:hint="eastAsia"/>
          <w:szCs w:val="32"/>
        </w:rPr>
        <w:t>，</w:t>
      </w:r>
      <w:r w:rsidR="00D7263F">
        <w:rPr>
          <w:rFonts w:ascii="仿宋" w:hAnsi="仿宋" w:hint="eastAsia"/>
          <w:szCs w:val="32"/>
        </w:rPr>
        <w:t>参与房地产纠纷的诉前调解工作，</w:t>
      </w:r>
      <w:r w:rsidR="006326E4" w:rsidRPr="006326E4">
        <w:rPr>
          <w:rFonts w:ascii="仿宋" w:hAnsi="仿宋" w:hint="eastAsia"/>
          <w:szCs w:val="32"/>
        </w:rPr>
        <w:t>通过具有高级专业技术职称专家辅助人的诉前介入，帮助当事人对纠纷处理过程和结果形成合理预测</w:t>
      </w:r>
      <w:r w:rsidR="00886D35">
        <w:rPr>
          <w:rFonts w:ascii="仿宋" w:hAnsi="仿宋" w:hint="eastAsia"/>
          <w:szCs w:val="32"/>
        </w:rPr>
        <w:t>，提升诉前调解专业化水</w:t>
      </w:r>
      <w:r w:rsidR="0082279C">
        <w:rPr>
          <w:rFonts w:ascii="仿宋" w:hAnsi="仿宋" w:hint="eastAsia"/>
          <w:szCs w:val="32"/>
        </w:rPr>
        <w:t>平</w:t>
      </w:r>
      <w:r w:rsidR="006326E4" w:rsidRPr="006326E4">
        <w:rPr>
          <w:rFonts w:ascii="仿宋" w:hAnsi="仿宋" w:hint="eastAsia"/>
          <w:szCs w:val="32"/>
        </w:rPr>
        <w:t>。</w:t>
      </w:r>
      <w:r w:rsidR="00D7263F" w:rsidRPr="0062348A">
        <w:rPr>
          <w:rFonts w:ascii="仿宋" w:hAnsi="仿宋" w:hint="eastAsia"/>
          <w:szCs w:val="32"/>
        </w:rPr>
        <w:t>发布房地产</w:t>
      </w:r>
      <w:r w:rsidR="00162BA6" w:rsidRPr="0062348A">
        <w:rPr>
          <w:rFonts w:ascii="仿宋" w:hAnsi="仿宋" w:hint="eastAsia"/>
          <w:szCs w:val="32"/>
        </w:rPr>
        <w:t>纠纷</w:t>
      </w:r>
      <w:r w:rsidR="00D7263F" w:rsidRPr="0062348A">
        <w:rPr>
          <w:rFonts w:ascii="仿宋" w:hAnsi="仿宋" w:hint="eastAsia"/>
          <w:szCs w:val="32"/>
        </w:rPr>
        <w:t>案件调解指引</w:t>
      </w:r>
      <w:r w:rsidR="00162BA6" w:rsidRPr="0062348A">
        <w:rPr>
          <w:rFonts w:ascii="仿宋" w:hAnsi="仿宋" w:hint="eastAsia"/>
          <w:szCs w:val="32"/>
        </w:rPr>
        <w:t>，</w:t>
      </w:r>
      <w:r w:rsidR="00CF7EC9" w:rsidRPr="00162BA6">
        <w:rPr>
          <w:rFonts w:ascii="仿宋" w:hAnsi="仿宋" w:hint="eastAsia"/>
          <w:szCs w:val="32"/>
        </w:rPr>
        <w:t>针对“半拉子”工程</w:t>
      </w:r>
      <w:r w:rsidR="006C29F5" w:rsidRPr="00162BA6">
        <w:rPr>
          <w:rFonts w:ascii="仿宋" w:hAnsi="仿宋" w:hint="eastAsia"/>
          <w:szCs w:val="32"/>
        </w:rPr>
        <w:t>复工和商业房屋租赁腾退</w:t>
      </w:r>
      <w:r w:rsidR="00D251BE">
        <w:rPr>
          <w:rFonts w:ascii="仿宋" w:hAnsi="仿宋" w:hint="eastAsia"/>
          <w:szCs w:val="32"/>
        </w:rPr>
        <w:t>等纠纷</w:t>
      </w:r>
      <w:r w:rsidR="006C29F5" w:rsidRPr="00162BA6">
        <w:rPr>
          <w:rFonts w:ascii="仿宋" w:hAnsi="仿宋" w:hint="eastAsia"/>
          <w:szCs w:val="32"/>
        </w:rPr>
        <w:t>发布</w:t>
      </w:r>
      <w:r w:rsidR="006C29F5">
        <w:rPr>
          <w:rFonts w:ascii="仿宋" w:hAnsi="仿宋" w:hint="eastAsia"/>
          <w:szCs w:val="32"/>
        </w:rPr>
        <w:t>典型调解案例和指引，</w:t>
      </w:r>
      <w:r w:rsidR="00C86AFD">
        <w:rPr>
          <w:rFonts w:ascii="仿宋" w:hAnsi="仿宋" w:hint="eastAsia"/>
          <w:szCs w:val="32"/>
        </w:rPr>
        <w:t>从诉讼调解的目标、思路、意义等多方面，</w:t>
      </w:r>
      <w:r w:rsidR="006C29F5">
        <w:rPr>
          <w:rFonts w:ascii="仿宋" w:hAnsi="仿宋" w:hint="eastAsia"/>
          <w:szCs w:val="32"/>
        </w:rPr>
        <w:t>为法官主持</w:t>
      </w:r>
      <w:r w:rsidR="00D251BE">
        <w:rPr>
          <w:rFonts w:ascii="仿宋" w:hAnsi="仿宋" w:hint="eastAsia"/>
          <w:szCs w:val="32"/>
        </w:rPr>
        <w:t>调解</w:t>
      </w:r>
      <w:r w:rsidR="006C29F5">
        <w:rPr>
          <w:rFonts w:ascii="仿宋" w:hAnsi="仿宋" w:hint="eastAsia"/>
          <w:szCs w:val="32"/>
        </w:rPr>
        <w:t>及当事人、律师参与</w:t>
      </w:r>
      <w:r w:rsidR="00C86AFD">
        <w:rPr>
          <w:rFonts w:ascii="仿宋" w:hAnsi="仿宋" w:hint="eastAsia"/>
          <w:szCs w:val="32"/>
        </w:rPr>
        <w:t>调解活动提供指引。</w:t>
      </w:r>
      <w:r w:rsidR="002E4A6F">
        <w:rPr>
          <w:rFonts w:ascii="仿宋" w:hAnsi="仿宋" w:hint="eastAsia"/>
          <w:szCs w:val="32"/>
        </w:rPr>
        <w:t>太仓市人民法院与</w:t>
      </w:r>
      <w:r w:rsidR="00C42388">
        <w:rPr>
          <w:rFonts w:ascii="仿宋" w:hAnsi="仿宋" w:hint="eastAsia"/>
          <w:szCs w:val="32"/>
        </w:rPr>
        <w:t>该</w:t>
      </w:r>
      <w:r w:rsidR="002E4A6F">
        <w:rPr>
          <w:rFonts w:ascii="仿宋" w:hAnsi="仿宋" w:hint="eastAsia"/>
          <w:szCs w:val="32"/>
        </w:rPr>
        <w:t>市住建局、</w:t>
      </w:r>
      <w:r w:rsidR="00C42388">
        <w:rPr>
          <w:rFonts w:ascii="仿宋" w:hAnsi="仿宋" w:hint="eastAsia"/>
          <w:szCs w:val="32"/>
        </w:rPr>
        <w:t>房地产业协会联合签署</w:t>
      </w:r>
      <w:r w:rsidR="002E4A6F">
        <w:rPr>
          <w:rFonts w:ascii="仿宋" w:hAnsi="仿宋" w:hint="eastAsia"/>
          <w:szCs w:val="32"/>
        </w:rPr>
        <w:t>《涉房地产纠纷诉源治理工作合作备忘录》，聚焦“建立联动化解、夯实调解专家、打造信息共享、健全联动宣传”四项机制，</w:t>
      </w:r>
      <w:r w:rsidR="00AF65A0" w:rsidRPr="00AF65A0">
        <w:rPr>
          <w:rFonts w:ascii="仿宋" w:hAnsi="仿宋" w:hint="eastAsia"/>
          <w:szCs w:val="32"/>
        </w:rPr>
        <w:t>努力将涉房地产纠纷解决在萌芽状态、化解在基层</w:t>
      </w:r>
      <w:r w:rsidR="005608F3">
        <w:rPr>
          <w:rFonts w:ascii="仿宋" w:hAnsi="仿宋" w:hint="eastAsia"/>
          <w:szCs w:val="32"/>
        </w:rPr>
        <w:t>；</w:t>
      </w:r>
      <w:r w:rsidR="00B563D0" w:rsidRPr="006326E4">
        <w:rPr>
          <w:rFonts w:ascii="仿宋" w:hAnsi="仿宋" w:hint="eastAsia"/>
          <w:szCs w:val="32"/>
        </w:rPr>
        <w:t>完善房地产群体性纠纷示范调判机制，推动矛盾纠纷妥善高效化解</w:t>
      </w:r>
      <w:r w:rsidR="00D8740F">
        <w:rPr>
          <w:rFonts w:ascii="仿宋" w:hAnsi="仿宋" w:hint="eastAsia"/>
          <w:szCs w:val="32"/>
        </w:rPr>
        <w:t>，</w:t>
      </w:r>
      <w:r w:rsidR="00841BE4">
        <w:rPr>
          <w:rFonts w:ascii="仿宋" w:hAnsi="仿宋" w:hint="eastAsia"/>
          <w:szCs w:val="32"/>
        </w:rPr>
        <w:t>通过选取典型个案进行审理，</w:t>
      </w:r>
      <w:r w:rsidR="00023A19">
        <w:rPr>
          <w:rFonts w:ascii="仿宋" w:hAnsi="仿宋" w:hint="eastAsia"/>
          <w:szCs w:val="32"/>
        </w:rPr>
        <w:t>一揽子</w:t>
      </w:r>
      <w:r w:rsidR="001437AE">
        <w:rPr>
          <w:rFonts w:ascii="仿宋" w:hAnsi="仿宋" w:hint="eastAsia"/>
          <w:szCs w:val="32"/>
        </w:rPr>
        <w:t>化解某房地产开发企业与800余户购房者的逾期交房纠纷，取得了</w:t>
      </w:r>
      <w:r w:rsidR="00841BE4">
        <w:rPr>
          <w:rFonts w:ascii="仿宋" w:hAnsi="仿宋" w:hint="eastAsia"/>
          <w:szCs w:val="32"/>
        </w:rPr>
        <w:t>“审理一案、化解一片”的良好效果</w:t>
      </w:r>
      <w:r w:rsidR="001437AE">
        <w:rPr>
          <w:rFonts w:ascii="仿宋" w:hAnsi="仿宋" w:hint="eastAsia"/>
          <w:szCs w:val="32"/>
        </w:rPr>
        <w:t>。</w:t>
      </w:r>
    </w:p>
    <w:p w:rsidR="00F76148" w:rsidRPr="00F76148" w:rsidRDefault="00F91902" w:rsidP="00F76148">
      <w:pPr>
        <w:spacing w:line="600" w:lineRule="exact"/>
        <w:ind w:firstLine="640"/>
        <w:rPr>
          <w:rFonts w:ascii="仿宋" w:hAnsi="仿宋"/>
          <w:szCs w:val="32"/>
        </w:rPr>
      </w:pPr>
      <w:r>
        <w:rPr>
          <w:rFonts w:ascii="楷体" w:eastAsia="楷体" w:hAnsi="楷体" w:hint="eastAsia"/>
          <w:szCs w:val="32"/>
        </w:rPr>
        <w:t>6.</w:t>
      </w:r>
      <w:r w:rsidR="00C635AB" w:rsidRPr="00C635AB">
        <w:rPr>
          <w:rFonts w:ascii="楷体" w:eastAsia="楷体" w:hAnsi="楷体" w:hint="eastAsia"/>
          <w:szCs w:val="32"/>
        </w:rPr>
        <w:t>探索专家陪审员机制</w:t>
      </w:r>
      <w:r w:rsidR="00AF65A0">
        <w:rPr>
          <w:rFonts w:ascii="楷体" w:eastAsia="楷体" w:hAnsi="楷体" w:hint="eastAsia"/>
          <w:szCs w:val="32"/>
        </w:rPr>
        <w:t>。</w:t>
      </w:r>
      <w:r w:rsidR="00A22E65">
        <w:rPr>
          <w:rFonts w:ascii="仿宋" w:hAnsi="仿宋" w:hint="eastAsia"/>
          <w:szCs w:val="32"/>
        </w:rPr>
        <w:t>着眼破解房地产审判中的专业技术难题，提升</w:t>
      </w:r>
      <w:r w:rsidR="00AB7DDC">
        <w:rPr>
          <w:rFonts w:ascii="仿宋" w:hAnsi="仿宋" w:hint="eastAsia"/>
          <w:szCs w:val="32"/>
        </w:rPr>
        <w:t>案件审判质效</w:t>
      </w:r>
      <w:r w:rsidR="00AB7DDC" w:rsidRPr="0062348A">
        <w:rPr>
          <w:rFonts w:ascii="仿宋" w:hAnsi="仿宋" w:hint="eastAsia"/>
          <w:szCs w:val="32"/>
        </w:rPr>
        <w:t>，</w:t>
      </w:r>
      <w:r w:rsidR="00AB7DDC">
        <w:rPr>
          <w:rFonts w:ascii="仿宋" w:hAnsi="仿宋" w:hint="eastAsia"/>
          <w:szCs w:val="32"/>
        </w:rPr>
        <w:t>全市法院积极</w:t>
      </w:r>
      <w:r w:rsidR="006B2CB0" w:rsidRPr="00AF65A0">
        <w:rPr>
          <w:rFonts w:ascii="仿宋" w:hAnsi="仿宋" w:hint="eastAsia"/>
          <w:szCs w:val="32"/>
        </w:rPr>
        <w:t>探索</w:t>
      </w:r>
      <w:r w:rsidR="00A22E65">
        <w:rPr>
          <w:rFonts w:ascii="仿宋" w:hAnsi="仿宋" w:hint="eastAsia"/>
          <w:szCs w:val="32"/>
        </w:rPr>
        <w:t>建立</w:t>
      </w:r>
      <w:r w:rsidR="006B2CB0" w:rsidRPr="00AF65A0">
        <w:rPr>
          <w:rFonts w:ascii="仿宋" w:hAnsi="仿宋" w:hint="eastAsia"/>
          <w:szCs w:val="32"/>
        </w:rPr>
        <w:t>专家陪审员机制</w:t>
      </w:r>
      <w:r w:rsidR="00D1731B">
        <w:rPr>
          <w:rFonts w:ascii="仿宋" w:hAnsi="仿宋" w:hint="eastAsia"/>
          <w:szCs w:val="32"/>
        </w:rPr>
        <w:t>。</w:t>
      </w:r>
      <w:r w:rsidR="006B2CB0" w:rsidRPr="006B2CB0">
        <w:rPr>
          <w:rFonts w:ascii="仿宋" w:hAnsi="仿宋" w:hint="eastAsia"/>
          <w:szCs w:val="32"/>
        </w:rPr>
        <w:t>引入</w:t>
      </w:r>
      <w:r w:rsidR="00862936">
        <w:rPr>
          <w:rFonts w:ascii="仿宋" w:hAnsi="仿宋" w:hint="eastAsia"/>
          <w:szCs w:val="32"/>
        </w:rPr>
        <w:t>建筑规划、设计、施工、工程造价审计等领域的专业人士，作为</w:t>
      </w:r>
      <w:r w:rsidR="006B2CB0" w:rsidRPr="006B2CB0">
        <w:rPr>
          <w:rFonts w:ascii="仿宋" w:hAnsi="仿宋" w:hint="eastAsia"/>
          <w:szCs w:val="32"/>
        </w:rPr>
        <w:t>专家陪审员</w:t>
      </w:r>
      <w:r w:rsidR="00AB7DDC" w:rsidRPr="00AB7DDC">
        <w:rPr>
          <w:rFonts w:ascii="仿宋" w:hAnsi="仿宋" w:hint="eastAsia"/>
          <w:szCs w:val="32"/>
        </w:rPr>
        <w:t>与承办法官组成合议庭参与相关案件的审理，或在简易程序案件审理中担任专家辅助人，</w:t>
      </w:r>
      <w:r w:rsidR="00862936">
        <w:rPr>
          <w:rFonts w:ascii="仿宋" w:hAnsi="仿宋" w:hint="eastAsia"/>
          <w:szCs w:val="32"/>
        </w:rPr>
        <w:t>发挥其</w:t>
      </w:r>
      <w:r w:rsidR="006B2CB0">
        <w:rPr>
          <w:rFonts w:ascii="仿宋" w:hAnsi="仿宋" w:hint="eastAsia"/>
          <w:szCs w:val="32"/>
        </w:rPr>
        <w:t>“专业专长”“高知高智”</w:t>
      </w:r>
      <w:r w:rsidR="006B2CB0" w:rsidRPr="006B2CB0">
        <w:rPr>
          <w:rFonts w:ascii="仿宋" w:hAnsi="仿宋" w:hint="eastAsia"/>
          <w:szCs w:val="32"/>
        </w:rPr>
        <w:t>“畅联畅通”优势，</w:t>
      </w:r>
      <w:r w:rsidR="00862936">
        <w:rPr>
          <w:rFonts w:ascii="仿宋" w:hAnsi="仿宋" w:hint="eastAsia"/>
          <w:szCs w:val="32"/>
        </w:rPr>
        <w:t>提升</w:t>
      </w:r>
      <w:r w:rsidR="00AB7DDC">
        <w:rPr>
          <w:rFonts w:ascii="仿宋" w:hAnsi="仿宋" w:hint="eastAsia"/>
          <w:szCs w:val="32"/>
        </w:rPr>
        <w:t>房地产审判的专业化水平</w:t>
      </w:r>
      <w:r w:rsidR="006B2CB0" w:rsidRPr="006B2CB0">
        <w:rPr>
          <w:rFonts w:ascii="仿宋" w:hAnsi="仿宋" w:hint="eastAsia"/>
          <w:szCs w:val="32"/>
        </w:rPr>
        <w:t>。</w:t>
      </w:r>
    </w:p>
    <w:p w:rsidR="00955987" w:rsidRPr="00F63A03" w:rsidRDefault="00D37BE1">
      <w:pPr>
        <w:spacing w:line="600" w:lineRule="exact"/>
        <w:ind w:firstLine="640"/>
        <w:rPr>
          <w:rFonts w:ascii="黑体" w:eastAsia="黑体" w:hAnsi="黑体"/>
        </w:rPr>
      </w:pPr>
      <w:r>
        <w:rPr>
          <w:rFonts w:ascii="黑体" w:eastAsia="黑体" w:hAnsi="黑体" w:hint="eastAsia"/>
        </w:rPr>
        <w:t>三、</w:t>
      </w:r>
      <w:r w:rsidR="002A292E" w:rsidRPr="00F63A03">
        <w:rPr>
          <w:rFonts w:ascii="黑体" w:eastAsia="黑体" w:hAnsi="黑体" w:hint="eastAsia"/>
        </w:rPr>
        <w:t>下一步房地产审判工作的主要思路</w:t>
      </w:r>
      <w:bookmarkStart w:id="10" w:name="_Toc63846560"/>
      <w:bookmarkStart w:id="11" w:name="_Toc66117646"/>
      <w:bookmarkEnd w:id="8"/>
      <w:bookmarkEnd w:id="9"/>
    </w:p>
    <w:bookmarkEnd w:id="10"/>
    <w:bookmarkEnd w:id="11"/>
    <w:p w:rsidR="00955B44" w:rsidRPr="00AA0D84" w:rsidRDefault="00955B44" w:rsidP="00AA0D84">
      <w:pPr>
        <w:widowControl/>
        <w:spacing w:line="600" w:lineRule="exact"/>
        <w:ind w:firstLine="640"/>
        <w:jc w:val="left"/>
        <w:rPr>
          <w:rFonts w:ascii="楷体" w:eastAsia="楷体" w:hAnsi="楷体"/>
          <w:b/>
          <w:szCs w:val="32"/>
        </w:rPr>
      </w:pPr>
      <w:r>
        <w:rPr>
          <w:rFonts w:ascii="楷体" w:eastAsia="楷体" w:hAnsi="楷体" w:hint="eastAsia"/>
        </w:rPr>
        <w:t>1</w:t>
      </w:r>
      <w:r w:rsidRPr="0062348A">
        <w:rPr>
          <w:rFonts w:ascii="楷体" w:eastAsia="楷体" w:hAnsi="楷体"/>
        </w:rPr>
        <w:t>.</w:t>
      </w:r>
      <w:r w:rsidRPr="0062348A">
        <w:rPr>
          <w:rFonts w:ascii="楷体" w:eastAsia="楷体" w:hAnsi="楷体" w:hint="eastAsia"/>
        </w:rPr>
        <w:t>保障住房消费</w:t>
      </w:r>
      <w:r w:rsidR="00AA0D84">
        <w:rPr>
          <w:rFonts w:ascii="楷体" w:eastAsia="楷体" w:hAnsi="楷体" w:hint="eastAsia"/>
          <w:b/>
          <w:szCs w:val="32"/>
        </w:rPr>
        <w:t>。</w:t>
      </w:r>
      <w:r w:rsidRPr="001F3DCF">
        <w:rPr>
          <w:rFonts w:ascii="仿宋" w:hAnsi="仿宋" w:hint="eastAsia"/>
          <w:szCs w:val="32"/>
        </w:rPr>
        <w:t>严格保护依法成立生效的房屋买卖合同，积极</w:t>
      </w:r>
      <w:r>
        <w:rPr>
          <w:rFonts w:ascii="仿宋" w:hAnsi="仿宋" w:hint="eastAsia"/>
          <w:szCs w:val="32"/>
        </w:rPr>
        <w:t>保障合理住房</w:t>
      </w:r>
      <w:r w:rsidRPr="001F3DCF">
        <w:rPr>
          <w:rFonts w:ascii="仿宋" w:hAnsi="仿宋" w:hint="eastAsia"/>
          <w:szCs w:val="32"/>
        </w:rPr>
        <w:t>需求，遏制投资投机性需求，推动实现稳地价、稳房价、稳预期。</w:t>
      </w:r>
      <w:r w:rsidRPr="00B846A4">
        <w:rPr>
          <w:rFonts w:ascii="仿宋" w:hAnsi="仿宋" w:hint="eastAsia"/>
          <w:szCs w:val="32"/>
        </w:rPr>
        <w:t>妥善处理房屋租赁合同纠纷</w:t>
      </w:r>
      <w:r>
        <w:rPr>
          <w:rFonts w:ascii="仿宋" w:hAnsi="仿宋" w:hint="eastAsia"/>
          <w:szCs w:val="32"/>
        </w:rPr>
        <w:t>，加强对合同履行陷入僵局案件的</w:t>
      </w:r>
      <w:r w:rsidRPr="00B846A4">
        <w:rPr>
          <w:rFonts w:ascii="仿宋" w:hAnsi="仿宋" w:hint="eastAsia"/>
          <w:szCs w:val="32"/>
        </w:rPr>
        <w:t>调解</w:t>
      </w:r>
      <w:r>
        <w:rPr>
          <w:rFonts w:ascii="仿宋" w:hAnsi="仿宋" w:hint="eastAsia"/>
          <w:szCs w:val="32"/>
        </w:rPr>
        <w:t>工作</w:t>
      </w:r>
      <w:r w:rsidRPr="00B846A4">
        <w:rPr>
          <w:rFonts w:ascii="仿宋" w:hAnsi="仿宋" w:hint="eastAsia"/>
          <w:szCs w:val="32"/>
        </w:rPr>
        <w:t>，引导出租人和承租人合理分担损失，共克时艰。</w:t>
      </w:r>
      <w:r w:rsidRPr="00B86B90">
        <w:rPr>
          <w:rFonts w:ascii="仿宋" w:hAnsi="仿宋" w:hint="eastAsia"/>
          <w:szCs w:val="32"/>
        </w:rPr>
        <w:t>充分发挥司法裁判的示范引领作用，通过</w:t>
      </w:r>
      <w:r w:rsidRPr="00BC210B">
        <w:rPr>
          <w:rFonts w:ascii="仿宋" w:hAnsi="仿宋" w:hint="eastAsia"/>
          <w:szCs w:val="32"/>
        </w:rPr>
        <w:t>召开</w:t>
      </w:r>
      <w:r>
        <w:rPr>
          <w:rFonts w:ascii="仿宋" w:hAnsi="仿宋" w:hint="eastAsia"/>
          <w:szCs w:val="32"/>
        </w:rPr>
        <w:t>“3.15”国际消费者权益日新闻发布会、发布消费纠纷年度典型案例等方式，推动</w:t>
      </w:r>
      <w:r w:rsidRPr="005701D5">
        <w:rPr>
          <w:rFonts w:ascii="仿宋" w:hAnsi="仿宋" w:hint="eastAsia"/>
          <w:szCs w:val="32"/>
        </w:rPr>
        <w:t>维护诚信公平高效的市场秩序</w:t>
      </w:r>
      <w:r>
        <w:rPr>
          <w:rFonts w:ascii="仿宋" w:hAnsi="仿宋" w:hint="eastAsia"/>
          <w:szCs w:val="32"/>
        </w:rPr>
        <w:t>，积极</w:t>
      </w:r>
      <w:r w:rsidRPr="005701D5">
        <w:rPr>
          <w:rFonts w:ascii="仿宋" w:hAnsi="仿宋" w:hint="eastAsia"/>
          <w:szCs w:val="32"/>
        </w:rPr>
        <w:t>遏制欺诈</w:t>
      </w:r>
      <w:r>
        <w:rPr>
          <w:rFonts w:ascii="仿宋" w:hAnsi="仿宋" w:hint="eastAsia"/>
          <w:szCs w:val="32"/>
        </w:rPr>
        <w:t>住房</w:t>
      </w:r>
      <w:r w:rsidRPr="005701D5">
        <w:rPr>
          <w:rFonts w:ascii="仿宋" w:hAnsi="仿宋" w:hint="eastAsia"/>
          <w:szCs w:val="32"/>
        </w:rPr>
        <w:t>消费者的不诚信行为，引导</w:t>
      </w:r>
      <w:r>
        <w:rPr>
          <w:rFonts w:ascii="仿宋" w:hAnsi="仿宋" w:hint="eastAsia"/>
          <w:szCs w:val="32"/>
        </w:rPr>
        <w:t>房地产开发企业</w:t>
      </w:r>
      <w:r w:rsidRPr="005701D5">
        <w:rPr>
          <w:rFonts w:ascii="仿宋" w:hAnsi="仿宋" w:hint="eastAsia"/>
          <w:szCs w:val="32"/>
        </w:rPr>
        <w:t>通过</w:t>
      </w:r>
      <w:r>
        <w:rPr>
          <w:rFonts w:ascii="仿宋" w:hAnsi="仿宋" w:hint="eastAsia"/>
          <w:szCs w:val="32"/>
        </w:rPr>
        <w:t>提升质量</w:t>
      </w:r>
      <w:r w:rsidRPr="005701D5">
        <w:rPr>
          <w:rFonts w:ascii="仿宋" w:hAnsi="仿宋" w:hint="eastAsia"/>
          <w:szCs w:val="32"/>
        </w:rPr>
        <w:t>获得竞争优势</w:t>
      </w:r>
      <w:r>
        <w:rPr>
          <w:rFonts w:ascii="仿宋" w:hAnsi="仿宋" w:hint="eastAsia"/>
          <w:szCs w:val="32"/>
        </w:rPr>
        <w:t>。</w:t>
      </w:r>
    </w:p>
    <w:p w:rsidR="00955987" w:rsidRPr="00AA0D84" w:rsidRDefault="00896C55" w:rsidP="00AA0D84">
      <w:pPr>
        <w:widowControl/>
        <w:spacing w:line="600" w:lineRule="exact"/>
        <w:ind w:firstLine="640"/>
        <w:jc w:val="left"/>
        <w:rPr>
          <w:rFonts w:ascii="楷体" w:eastAsia="楷体" w:hAnsi="楷体"/>
          <w:b/>
        </w:rPr>
      </w:pPr>
      <w:r w:rsidRPr="0062348A">
        <w:rPr>
          <w:rFonts w:ascii="楷体" w:eastAsia="楷体" w:hAnsi="楷体"/>
        </w:rPr>
        <w:t>2.提升审判能力</w:t>
      </w:r>
      <w:r w:rsidR="00AA0D84">
        <w:rPr>
          <w:rFonts w:ascii="楷体" w:eastAsia="楷体" w:hAnsi="楷体" w:hint="eastAsia"/>
          <w:b/>
        </w:rPr>
        <w:t>。</w:t>
      </w:r>
      <w:r w:rsidR="00515D35">
        <w:rPr>
          <w:rFonts w:ascii="仿宋" w:hAnsi="仿宋" w:hint="eastAsia"/>
          <w:kern w:val="0"/>
          <w:szCs w:val="32"/>
        </w:rPr>
        <w:t>完善专业法官会议工作机制，进一步发挥专业法官会议工作机制在辅助办案决策、统一法律适用、强化制约监督、人才培养等方面的作用，提升专业法官会议的讨论质量。打造两级法院民事审判业务交流平台，推动提升房地产案件审判能力水平。不断加强年轻干警的司法调研能力</w:t>
      </w:r>
      <w:r w:rsidR="00515D35">
        <w:rPr>
          <w:rFonts w:ascii="仿宋" w:hAnsi="仿宋" w:cs="仿宋" w:hint="eastAsia"/>
          <w:kern w:val="0"/>
          <w:szCs w:val="32"/>
        </w:rPr>
        <w:t>，</w:t>
      </w:r>
      <w:r w:rsidR="00961836">
        <w:rPr>
          <w:rFonts w:ascii="仿宋" w:hAnsi="仿宋" w:hint="eastAsia"/>
          <w:kern w:val="0"/>
          <w:szCs w:val="32"/>
        </w:rPr>
        <w:t>充分培育、挖掘典型案例和精品文书，</w:t>
      </w:r>
      <w:r w:rsidR="00515D35">
        <w:rPr>
          <w:rFonts w:ascii="仿宋" w:hAnsi="仿宋" w:cs="仿宋" w:hint="eastAsia"/>
          <w:kern w:val="0"/>
          <w:szCs w:val="32"/>
        </w:rPr>
        <w:t>以司法调研推动审判高质量发展、队伍高素质建设</w:t>
      </w:r>
      <w:r w:rsidR="00515D35">
        <w:rPr>
          <w:rFonts w:ascii="仿宋" w:hAnsi="仿宋" w:hint="eastAsia"/>
          <w:kern w:val="0"/>
          <w:szCs w:val="32"/>
        </w:rPr>
        <w:t>。</w:t>
      </w:r>
      <w:r w:rsidR="00722D45">
        <w:rPr>
          <w:rFonts w:ascii="仿宋" w:hAnsi="仿宋" w:hint="eastAsia"/>
          <w:kern w:val="0"/>
          <w:szCs w:val="32"/>
        </w:rPr>
        <w:t>加强房地产案件审判流程管理和疑难问题研究，</w:t>
      </w:r>
      <w:r w:rsidR="00BE3C4C">
        <w:rPr>
          <w:rFonts w:ascii="仿宋" w:hAnsi="仿宋" w:cs="仿宋" w:hint="eastAsia"/>
          <w:szCs w:val="32"/>
        </w:rPr>
        <w:t>进一步提高案件审判质效</w:t>
      </w:r>
      <w:r w:rsidR="002A292E" w:rsidRPr="00722D45">
        <w:rPr>
          <w:rFonts w:ascii="仿宋" w:hAnsi="仿宋" w:cs="仿宋" w:hint="eastAsia"/>
          <w:szCs w:val="32"/>
        </w:rPr>
        <w:t>。</w:t>
      </w:r>
      <w:r w:rsidR="00B464AD" w:rsidRPr="00B464AD">
        <w:rPr>
          <w:rFonts w:ascii="仿宋" w:hAnsi="仿宋" w:cs="仿宋" w:hint="eastAsia"/>
          <w:szCs w:val="32"/>
        </w:rPr>
        <w:t>大力践行和弘扬社会主义核心价值观，深入推进社会主义核心价值观融入裁判文书释法说理，打造一批弘扬社会主义核心价值观和中华优秀传统文化</w:t>
      </w:r>
      <w:r w:rsidR="00385DAF">
        <w:rPr>
          <w:rFonts w:ascii="仿宋" w:hAnsi="仿宋" w:cs="仿宋" w:hint="eastAsia"/>
          <w:szCs w:val="32"/>
        </w:rPr>
        <w:t>房地产</w:t>
      </w:r>
      <w:r w:rsidR="00B464AD" w:rsidRPr="00B464AD">
        <w:rPr>
          <w:rFonts w:ascii="仿宋" w:hAnsi="仿宋" w:cs="仿宋" w:hint="eastAsia"/>
          <w:szCs w:val="32"/>
        </w:rPr>
        <w:t>典型案例，充分发挥司法裁判的规则引领和价值导向作用。</w:t>
      </w:r>
    </w:p>
    <w:p w:rsidR="00955B44" w:rsidRPr="00AA0D84" w:rsidRDefault="00955B44" w:rsidP="00AA0D84">
      <w:pPr>
        <w:widowControl/>
        <w:spacing w:line="600" w:lineRule="exact"/>
        <w:ind w:firstLine="640"/>
        <w:jc w:val="left"/>
        <w:rPr>
          <w:rFonts w:ascii="楷体" w:eastAsia="楷体" w:hAnsi="楷体"/>
        </w:rPr>
      </w:pPr>
      <w:r>
        <w:rPr>
          <w:rFonts w:ascii="楷体" w:eastAsia="楷体" w:hAnsi="楷体" w:hint="eastAsia"/>
        </w:rPr>
        <w:t>3</w:t>
      </w:r>
      <w:r w:rsidRPr="0062348A">
        <w:rPr>
          <w:rFonts w:ascii="楷体" w:eastAsia="楷体" w:hAnsi="楷体"/>
        </w:rPr>
        <w:t>.</w:t>
      </w:r>
      <w:r>
        <w:rPr>
          <w:rFonts w:ascii="楷体" w:eastAsia="楷体" w:hAnsi="楷体" w:hint="eastAsia"/>
        </w:rPr>
        <w:t>凝聚</w:t>
      </w:r>
      <w:r w:rsidRPr="0062348A">
        <w:rPr>
          <w:rFonts w:ascii="楷体" w:eastAsia="楷体" w:hAnsi="楷体" w:hint="eastAsia"/>
        </w:rPr>
        <w:t>解纷合力</w:t>
      </w:r>
      <w:r w:rsidR="00AA0D84">
        <w:rPr>
          <w:rFonts w:ascii="楷体" w:eastAsia="楷体" w:hAnsi="楷体" w:hint="eastAsia"/>
        </w:rPr>
        <w:t>。</w:t>
      </w:r>
      <w:r w:rsidRPr="00962DE0">
        <w:rPr>
          <w:rFonts w:ascii="仿宋" w:hAnsi="仿宋" w:hint="eastAsia"/>
        </w:rPr>
        <w:t>加强与住建</w:t>
      </w:r>
      <w:r w:rsidRPr="0062348A">
        <w:rPr>
          <w:rFonts w:ascii="仿宋" w:hAnsi="仿宋" w:hint="eastAsia"/>
        </w:rPr>
        <w:t>、信访等部门及行业协会的协调联动，尤其是</w:t>
      </w:r>
      <w:r w:rsidRPr="00962DE0">
        <w:rPr>
          <w:rFonts w:ascii="仿宋" w:hAnsi="仿宋" w:hint="eastAsia"/>
        </w:rPr>
        <w:t>推动类型化群体性纠纷预防化解平台建设，有效防范群体性纠纷发生。</w:t>
      </w:r>
      <w:r w:rsidRPr="00962DE0">
        <w:rPr>
          <w:rFonts w:ascii="仿宋" w:hAnsi="仿宋" w:cs="仿宋" w:hint="eastAsia"/>
          <w:szCs w:val="32"/>
        </w:rPr>
        <w:t>继续完善</w:t>
      </w:r>
      <w:r w:rsidRPr="00962DE0">
        <w:rPr>
          <w:rFonts w:ascii="仿宋" w:hAnsi="仿宋" w:hint="eastAsia"/>
          <w:szCs w:val="32"/>
        </w:rPr>
        <w:t>建筑工程违法线索移送反馈机制</w:t>
      </w:r>
      <w:r w:rsidRPr="00962DE0">
        <w:rPr>
          <w:rFonts w:ascii="仿宋" w:hAnsi="仿宋" w:cs="仿宋" w:hint="eastAsia"/>
          <w:szCs w:val="32"/>
        </w:rPr>
        <w:t>，坚持每季度向</w:t>
      </w:r>
      <w:r w:rsidRPr="0062348A">
        <w:rPr>
          <w:rFonts w:ascii="仿宋" w:hAnsi="仿宋" w:cs="仿宋" w:hint="eastAsia"/>
          <w:szCs w:val="32"/>
        </w:rPr>
        <w:t>市住建局移送案涉建筑工程发包与承包违法行为线索，助推房地产市场规范稳健发展。</w:t>
      </w:r>
      <w:r w:rsidRPr="005D676D">
        <w:rPr>
          <w:rFonts w:ascii="仿宋" w:hAnsi="仿宋" w:cs="仿宋" w:hint="eastAsia"/>
          <w:szCs w:val="32"/>
        </w:rPr>
        <w:t>针对房地产案件审理中发现的市场动态及时开展风险研判，对于案件审理中发现的房地产市场存在的短板问题，及时向相关行业和部门提出司法建议。</w:t>
      </w:r>
      <w:r w:rsidRPr="0062348A">
        <w:rPr>
          <w:rFonts w:ascii="仿宋" w:hAnsi="仿宋" w:hint="eastAsia"/>
        </w:rPr>
        <w:t>进</w:t>
      </w:r>
      <w:r w:rsidRPr="005D676D">
        <w:rPr>
          <w:rFonts w:ascii="仿宋" w:hAnsi="仿宋" w:hint="eastAsia"/>
        </w:rPr>
        <w:t>一步发挥人民法院职能作用，对商品房预售资金监管账户、农民工工资专用账户和工资保证金账户内资金依法审慎采取保全、执行措施，支持保障相关部门防范应对房地产项目逾期交付风险，维护购房者合法权益，确保农民工工资支付到位。</w:t>
      </w:r>
    </w:p>
    <w:p w:rsidR="00955B44" w:rsidRPr="00955B44" w:rsidRDefault="00955B44">
      <w:pPr>
        <w:spacing w:line="600" w:lineRule="exact"/>
        <w:ind w:firstLine="640"/>
        <w:rPr>
          <w:rFonts w:ascii="仿宋" w:hAnsi="仿宋" w:cs="仿宋"/>
          <w:szCs w:val="32"/>
        </w:rPr>
      </w:pPr>
    </w:p>
    <w:sectPr w:rsidR="00955B44" w:rsidRPr="00955B44" w:rsidSect="00E07DEB">
      <w:headerReference w:type="even" r:id="rId12"/>
      <w:headerReference w:type="default" r:id="rId13"/>
      <w:footerReference w:type="even" r:id="rId14"/>
      <w:footerReference w:type="default" r:id="rId15"/>
      <w:headerReference w:type="first" r:id="rId16"/>
      <w:footerReference w:type="first" r:id="rId17"/>
      <w:pgSz w:w="11906" w:h="16838"/>
      <w:pgMar w:top="2268" w:right="1418" w:bottom="1701" w:left="1418" w:header="851" w:footer="340" w:gutter="0"/>
      <w:pgNumType w:start="1"/>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0C" w:rsidRDefault="00A24D0C" w:rsidP="005B50E7">
      <w:pPr>
        <w:spacing w:line="240" w:lineRule="auto"/>
        <w:ind w:firstLine="640"/>
      </w:pPr>
      <w:r>
        <w:separator/>
      </w:r>
    </w:p>
  </w:endnote>
  <w:endnote w:type="continuationSeparator" w:id="0">
    <w:p w:rsidR="00A24D0C" w:rsidRDefault="00A24D0C" w:rsidP="005B50E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楷体">
    <w:panose1 w:val="02010609060101010101"/>
    <w:charset w:val="86"/>
    <w:family w:val="modern"/>
    <w:pitch w:val="fixed"/>
    <w:sig w:usb0="800002BF" w:usb1="38CF7CFA" w:usb2="00000016" w:usb3="00000000" w:csb0="00040001" w:csb1="00000000"/>
  </w:font>
  <w:font w:name="KaiTi">
    <w:altName w:val="..ì."/>
    <w:panose1 w:val="00000000000000000000"/>
    <w:charset w:val="00"/>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87" w:rsidRDefault="0095598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624827"/>
      <w:docPartObj>
        <w:docPartGallery w:val="Page Numbers (Bottom of Page)"/>
        <w:docPartUnique/>
      </w:docPartObj>
    </w:sdtPr>
    <w:sdtEndPr/>
    <w:sdtContent>
      <w:p w:rsidR="009F0057" w:rsidRDefault="009F0057" w:rsidP="009F0057">
        <w:pPr>
          <w:pStyle w:val="a5"/>
          <w:ind w:firstLine="360"/>
          <w:jc w:val="center"/>
        </w:pPr>
        <w:r>
          <w:fldChar w:fldCharType="begin"/>
        </w:r>
        <w:r>
          <w:instrText>PAGE   \* MERGEFORMAT</w:instrText>
        </w:r>
        <w:r>
          <w:fldChar w:fldCharType="separate"/>
        </w:r>
        <w:r w:rsidR="002823F3" w:rsidRPr="002823F3">
          <w:rPr>
            <w:noProof/>
            <w:lang w:val="zh-CN"/>
          </w:rPr>
          <w:t>2</w:t>
        </w:r>
        <w:r>
          <w:fldChar w:fldCharType="end"/>
        </w:r>
      </w:p>
    </w:sdtContent>
  </w:sdt>
  <w:p w:rsidR="00955987" w:rsidRDefault="00955987">
    <w:pPr>
      <w:pStyle w:val="a5"/>
      <w:ind w:firstLineChars="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87" w:rsidRDefault="0095598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0C" w:rsidRDefault="00A24D0C" w:rsidP="005B50E7">
      <w:pPr>
        <w:spacing w:line="240" w:lineRule="auto"/>
        <w:ind w:firstLine="640"/>
      </w:pPr>
      <w:r>
        <w:separator/>
      </w:r>
    </w:p>
  </w:footnote>
  <w:footnote w:type="continuationSeparator" w:id="0">
    <w:p w:rsidR="00A24D0C" w:rsidRDefault="00A24D0C" w:rsidP="005B50E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87" w:rsidRDefault="00955987">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87" w:rsidRDefault="00955987">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87" w:rsidRDefault="00955987">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DDE1A"/>
    <w:multiLevelType w:val="singleLevel"/>
    <w:tmpl w:val="A22DDE1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4097" fillcolor="white" stroke="f">
      <v:fill color="white"/>
      <v:stroke on="f"/>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46"/>
    <w:rsid w:val="0000213D"/>
    <w:rsid w:val="000040C3"/>
    <w:rsid w:val="000106AC"/>
    <w:rsid w:val="00011231"/>
    <w:rsid w:val="000125ED"/>
    <w:rsid w:val="00015422"/>
    <w:rsid w:val="00015CB2"/>
    <w:rsid w:val="000176D2"/>
    <w:rsid w:val="00020612"/>
    <w:rsid w:val="00020DD0"/>
    <w:rsid w:val="00022F19"/>
    <w:rsid w:val="00023A19"/>
    <w:rsid w:val="00023C38"/>
    <w:rsid w:val="00024632"/>
    <w:rsid w:val="00025425"/>
    <w:rsid w:val="00025593"/>
    <w:rsid w:val="0002778E"/>
    <w:rsid w:val="00033EC2"/>
    <w:rsid w:val="00041C08"/>
    <w:rsid w:val="00042CC4"/>
    <w:rsid w:val="0004650C"/>
    <w:rsid w:val="00047CEE"/>
    <w:rsid w:val="00050871"/>
    <w:rsid w:val="00050E24"/>
    <w:rsid w:val="000554C7"/>
    <w:rsid w:val="00056E38"/>
    <w:rsid w:val="00061B88"/>
    <w:rsid w:val="0006364B"/>
    <w:rsid w:val="00070897"/>
    <w:rsid w:val="00070ABA"/>
    <w:rsid w:val="00070AFB"/>
    <w:rsid w:val="0007163D"/>
    <w:rsid w:val="00072FC5"/>
    <w:rsid w:val="00073968"/>
    <w:rsid w:val="00074E02"/>
    <w:rsid w:val="00077113"/>
    <w:rsid w:val="0007713A"/>
    <w:rsid w:val="000774D5"/>
    <w:rsid w:val="0008173D"/>
    <w:rsid w:val="000825E7"/>
    <w:rsid w:val="00087974"/>
    <w:rsid w:val="00091A3C"/>
    <w:rsid w:val="00096EA7"/>
    <w:rsid w:val="00097558"/>
    <w:rsid w:val="000A129D"/>
    <w:rsid w:val="000A29EB"/>
    <w:rsid w:val="000A2AC4"/>
    <w:rsid w:val="000A2D7B"/>
    <w:rsid w:val="000A34FB"/>
    <w:rsid w:val="000A5673"/>
    <w:rsid w:val="000A5FFE"/>
    <w:rsid w:val="000A6EF2"/>
    <w:rsid w:val="000B0237"/>
    <w:rsid w:val="000B0989"/>
    <w:rsid w:val="000B4109"/>
    <w:rsid w:val="000B695F"/>
    <w:rsid w:val="000B6D6D"/>
    <w:rsid w:val="000B75BD"/>
    <w:rsid w:val="000C0274"/>
    <w:rsid w:val="000C2FBA"/>
    <w:rsid w:val="000C3020"/>
    <w:rsid w:val="000C4A14"/>
    <w:rsid w:val="000C4CF8"/>
    <w:rsid w:val="000C7247"/>
    <w:rsid w:val="000C7AAE"/>
    <w:rsid w:val="000D1F06"/>
    <w:rsid w:val="000D4247"/>
    <w:rsid w:val="000D5287"/>
    <w:rsid w:val="000D5618"/>
    <w:rsid w:val="000D5A99"/>
    <w:rsid w:val="000D6EA6"/>
    <w:rsid w:val="000E1809"/>
    <w:rsid w:val="000E273B"/>
    <w:rsid w:val="000E4691"/>
    <w:rsid w:val="000E4A97"/>
    <w:rsid w:val="000E51BA"/>
    <w:rsid w:val="000E7CE0"/>
    <w:rsid w:val="000F0326"/>
    <w:rsid w:val="000F2C27"/>
    <w:rsid w:val="000F3B96"/>
    <w:rsid w:val="000F6E2F"/>
    <w:rsid w:val="000F7619"/>
    <w:rsid w:val="00106F4D"/>
    <w:rsid w:val="00110693"/>
    <w:rsid w:val="00112564"/>
    <w:rsid w:val="00113942"/>
    <w:rsid w:val="00115547"/>
    <w:rsid w:val="0011782F"/>
    <w:rsid w:val="001203C9"/>
    <w:rsid w:val="001225AB"/>
    <w:rsid w:val="001237BC"/>
    <w:rsid w:val="0012629E"/>
    <w:rsid w:val="00130E17"/>
    <w:rsid w:val="0013183F"/>
    <w:rsid w:val="00132332"/>
    <w:rsid w:val="0013282F"/>
    <w:rsid w:val="0013437A"/>
    <w:rsid w:val="0013793A"/>
    <w:rsid w:val="0014179E"/>
    <w:rsid w:val="00142A66"/>
    <w:rsid w:val="001437AE"/>
    <w:rsid w:val="00143911"/>
    <w:rsid w:val="00151219"/>
    <w:rsid w:val="001516A7"/>
    <w:rsid w:val="00154702"/>
    <w:rsid w:val="001571B6"/>
    <w:rsid w:val="00157719"/>
    <w:rsid w:val="00160A51"/>
    <w:rsid w:val="00161A35"/>
    <w:rsid w:val="00161BBA"/>
    <w:rsid w:val="00161DB3"/>
    <w:rsid w:val="00162BA6"/>
    <w:rsid w:val="0016406A"/>
    <w:rsid w:val="00164F9E"/>
    <w:rsid w:val="00173C4C"/>
    <w:rsid w:val="001740D9"/>
    <w:rsid w:val="001750D9"/>
    <w:rsid w:val="0017602D"/>
    <w:rsid w:val="001764A1"/>
    <w:rsid w:val="00177EAA"/>
    <w:rsid w:val="0018405E"/>
    <w:rsid w:val="0018409F"/>
    <w:rsid w:val="00185BA5"/>
    <w:rsid w:val="00187D7F"/>
    <w:rsid w:val="0019270B"/>
    <w:rsid w:val="0019518D"/>
    <w:rsid w:val="001953BD"/>
    <w:rsid w:val="00195CAE"/>
    <w:rsid w:val="001964D4"/>
    <w:rsid w:val="001974D6"/>
    <w:rsid w:val="001A161A"/>
    <w:rsid w:val="001A2059"/>
    <w:rsid w:val="001A3C1D"/>
    <w:rsid w:val="001B445D"/>
    <w:rsid w:val="001B448A"/>
    <w:rsid w:val="001B4C96"/>
    <w:rsid w:val="001B5D4E"/>
    <w:rsid w:val="001B646B"/>
    <w:rsid w:val="001B6481"/>
    <w:rsid w:val="001B6F97"/>
    <w:rsid w:val="001C1430"/>
    <w:rsid w:val="001C5082"/>
    <w:rsid w:val="001C5572"/>
    <w:rsid w:val="001C6921"/>
    <w:rsid w:val="001C75DB"/>
    <w:rsid w:val="001D0464"/>
    <w:rsid w:val="001D1659"/>
    <w:rsid w:val="001D1D3E"/>
    <w:rsid w:val="001D2AE5"/>
    <w:rsid w:val="001D3120"/>
    <w:rsid w:val="001D469A"/>
    <w:rsid w:val="001D58CF"/>
    <w:rsid w:val="001D7A0B"/>
    <w:rsid w:val="001E1640"/>
    <w:rsid w:val="001E322D"/>
    <w:rsid w:val="001E65B4"/>
    <w:rsid w:val="001E68F7"/>
    <w:rsid w:val="001E715B"/>
    <w:rsid w:val="001F3DCF"/>
    <w:rsid w:val="001F520A"/>
    <w:rsid w:val="001F6712"/>
    <w:rsid w:val="001F7E32"/>
    <w:rsid w:val="001F7F8E"/>
    <w:rsid w:val="00204A0C"/>
    <w:rsid w:val="00205F8A"/>
    <w:rsid w:val="002064DE"/>
    <w:rsid w:val="0020689D"/>
    <w:rsid w:val="00210011"/>
    <w:rsid w:val="002116F8"/>
    <w:rsid w:val="0021480D"/>
    <w:rsid w:val="002162F7"/>
    <w:rsid w:val="00216A5B"/>
    <w:rsid w:val="00220482"/>
    <w:rsid w:val="00220C99"/>
    <w:rsid w:val="00223A7C"/>
    <w:rsid w:val="00223B1F"/>
    <w:rsid w:val="002274CF"/>
    <w:rsid w:val="00230D3F"/>
    <w:rsid w:val="0023251E"/>
    <w:rsid w:val="00233C0B"/>
    <w:rsid w:val="00235ECF"/>
    <w:rsid w:val="00236665"/>
    <w:rsid w:val="00240C34"/>
    <w:rsid w:val="0024141E"/>
    <w:rsid w:val="00241D2F"/>
    <w:rsid w:val="00242802"/>
    <w:rsid w:val="00244A89"/>
    <w:rsid w:val="00245915"/>
    <w:rsid w:val="00247CDB"/>
    <w:rsid w:val="002517A0"/>
    <w:rsid w:val="00252596"/>
    <w:rsid w:val="00252668"/>
    <w:rsid w:val="00252BB5"/>
    <w:rsid w:val="00253A29"/>
    <w:rsid w:val="00253E25"/>
    <w:rsid w:val="0025524B"/>
    <w:rsid w:val="00260732"/>
    <w:rsid w:val="00260A42"/>
    <w:rsid w:val="00262D1F"/>
    <w:rsid w:val="00263B56"/>
    <w:rsid w:val="00264042"/>
    <w:rsid w:val="002644EA"/>
    <w:rsid w:val="00265564"/>
    <w:rsid w:val="00265B02"/>
    <w:rsid w:val="002665A5"/>
    <w:rsid w:val="002708D7"/>
    <w:rsid w:val="00270A2B"/>
    <w:rsid w:val="00270FDE"/>
    <w:rsid w:val="00271DC4"/>
    <w:rsid w:val="00272DB5"/>
    <w:rsid w:val="00273285"/>
    <w:rsid w:val="0027672A"/>
    <w:rsid w:val="002811BB"/>
    <w:rsid w:val="00281513"/>
    <w:rsid w:val="00281DA6"/>
    <w:rsid w:val="002823F3"/>
    <w:rsid w:val="0028262D"/>
    <w:rsid w:val="00282A39"/>
    <w:rsid w:val="002836D2"/>
    <w:rsid w:val="00283926"/>
    <w:rsid w:val="00285B81"/>
    <w:rsid w:val="00287007"/>
    <w:rsid w:val="00287E48"/>
    <w:rsid w:val="00290F18"/>
    <w:rsid w:val="00293057"/>
    <w:rsid w:val="00293A7A"/>
    <w:rsid w:val="002951F6"/>
    <w:rsid w:val="00295689"/>
    <w:rsid w:val="00296764"/>
    <w:rsid w:val="002A292E"/>
    <w:rsid w:val="002A597A"/>
    <w:rsid w:val="002B03A7"/>
    <w:rsid w:val="002B0413"/>
    <w:rsid w:val="002B325B"/>
    <w:rsid w:val="002B63F1"/>
    <w:rsid w:val="002B6FF6"/>
    <w:rsid w:val="002B7CAC"/>
    <w:rsid w:val="002C05B1"/>
    <w:rsid w:val="002C1094"/>
    <w:rsid w:val="002C187B"/>
    <w:rsid w:val="002C1B9B"/>
    <w:rsid w:val="002C41C0"/>
    <w:rsid w:val="002D1395"/>
    <w:rsid w:val="002D252C"/>
    <w:rsid w:val="002D29E6"/>
    <w:rsid w:val="002D4DD0"/>
    <w:rsid w:val="002D58A3"/>
    <w:rsid w:val="002D5FC7"/>
    <w:rsid w:val="002D65AA"/>
    <w:rsid w:val="002D715A"/>
    <w:rsid w:val="002D72CF"/>
    <w:rsid w:val="002E0124"/>
    <w:rsid w:val="002E440F"/>
    <w:rsid w:val="002E4A6F"/>
    <w:rsid w:val="002E5E71"/>
    <w:rsid w:val="002E6190"/>
    <w:rsid w:val="002E6969"/>
    <w:rsid w:val="002F0293"/>
    <w:rsid w:val="002F1541"/>
    <w:rsid w:val="002F16E6"/>
    <w:rsid w:val="002F27C5"/>
    <w:rsid w:val="002F39DF"/>
    <w:rsid w:val="002F4528"/>
    <w:rsid w:val="00300333"/>
    <w:rsid w:val="00301FF4"/>
    <w:rsid w:val="003030F3"/>
    <w:rsid w:val="00305833"/>
    <w:rsid w:val="003069FC"/>
    <w:rsid w:val="00306A8B"/>
    <w:rsid w:val="00311C7A"/>
    <w:rsid w:val="003127B4"/>
    <w:rsid w:val="003139D4"/>
    <w:rsid w:val="00313CAD"/>
    <w:rsid w:val="00314057"/>
    <w:rsid w:val="00317559"/>
    <w:rsid w:val="00317C69"/>
    <w:rsid w:val="0032393D"/>
    <w:rsid w:val="00324E35"/>
    <w:rsid w:val="0032532E"/>
    <w:rsid w:val="00326987"/>
    <w:rsid w:val="00327842"/>
    <w:rsid w:val="00327BE3"/>
    <w:rsid w:val="00327CFE"/>
    <w:rsid w:val="003308BE"/>
    <w:rsid w:val="003336A3"/>
    <w:rsid w:val="003336B8"/>
    <w:rsid w:val="00334289"/>
    <w:rsid w:val="0033445D"/>
    <w:rsid w:val="00334ADF"/>
    <w:rsid w:val="00335FDE"/>
    <w:rsid w:val="00336F97"/>
    <w:rsid w:val="00337DF9"/>
    <w:rsid w:val="003409C5"/>
    <w:rsid w:val="00340DDE"/>
    <w:rsid w:val="00343D80"/>
    <w:rsid w:val="00344B0C"/>
    <w:rsid w:val="00345B21"/>
    <w:rsid w:val="00345C63"/>
    <w:rsid w:val="00345E1A"/>
    <w:rsid w:val="0034699B"/>
    <w:rsid w:val="003537BC"/>
    <w:rsid w:val="00353DE7"/>
    <w:rsid w:val="0035478F"/>
    <w:rsid w:val="00354D61"/>
    <w:rsid w:val="00355119"/>
    <w:rsid w:val="00355917"/>
    <w:rsid w:val="00356E00"/>
    <w:rsid w:val="00357F85"/>
    <w:rsid w:val="00363D3F"/>
    <w:rsid w:val="003641A2"/>
    <w:rsid w:val="00364656"/>
    <w:rsid w:val="00365D85"/>
    <w:rsid w:val="00366A0E"/>
    <w:rsid w:val="00367678"/>
    <w:rsid w:val="00367CB2"/>
    <w:rsid w:val="00371279"/>
    <w:rsid w:val="0037321D"/>
    <w:rsid w:val="003753BD"/>
    <w:rsid w:val="0037562F"/>
    <w:rsid w:val="00376E0B"/>
    <w:rsid w:val="00377017"/>
    <w:rsid w:val="0038119F"/>
    <w:rsid w:val="003832F3"/>
    <w:rsid w:val="00385DAF"/>
    <w:rsid w:val="00387878"/>
    <w:rsid w:val="00387DDA"/>
    <w:rsid w:val="003921F4"/>
    <w:rsid w:val="00392B5C"/>
    <w:rsid w:val="00392CD2"/>
    <w:rsid w:val="00393E5E"/>
    <w:rsid w:val="0039696D"/>
    <w:rsid w:val="003972B8"/>
    <w:rsid w:val="003A0F25"/>
    <w:rsid w:val="003A1FEC"/>
    <w:rsid w:val="003A56E0"/>
    <w:rsid w:val="003A6597"/>
    <w:rsid w:val="003A6A46"/>
    <w:rsid w:val="003B0C5E"/>
    <w:rsid w:val="003B4851"/>
    <w:rsid w:val="003B6065"/>
    <w:rsid w:val="003B65B7"/>
    <w:rsid w:val="003B6A71"/>
    <w:rsid w:val="003B77A5"/>
    <w:rsid w:val="003B7F6D"/>
    <w:rsid w:val="003C0B1B"/>
    <w:rsid w:val="003C2034"/>
    <w:rsid w:val="003C37BB"/>
    <w:rsid w:val="003C383D"/>
    <w:rsid w:val="003C385D"/>
    <w:rsid w:val="003C3BA4"/>
    <w:rsid w:val="003C5357"/>
    <w:rsid w:val="003C604C"/>
    <w:rsid w:val="003D0013"/>
    <w:rsid w:val="003D223F"/>
    <w:rsid w:val="003D2C8D"/>
    <w:rsid w:val="003D7651"/>
    <w:rsid w:val="003E0407"/>
    <w:rsid w:val="003E290E"/>
    <w:rsid w:val="003E6209"/>
    <w:rsid w:val="003E6524"/>
    <w:rsid w:val="003F56D9"/>
    <w:rsid w:val="003F5ABE"/>
    <w:rsid w:val="003F7B1A"/>
    <w:rsid w:val="004012F9"/>
    <w:rsid w:val="00401B47"/>
    <w:rsid w:val="00402BEF"/>
    <w:rsid w:val="00402CD0"/>
    <w:rsid w:val="004043ED"/>
    <w:rsid w:val="0040541F"/>
    <w:rsid w:val="004062FE"/>
    <w:rsid w:val="0040698F"/>
    <w:rsid w:val="00407CEE"/>
    <w:rsid w:val="0041092A"/>
    <w:rsid w:val="00413E50"/>
    <w:rsid w:val="00414ED8"/>
    <w:rsid w:val="00415517"/>
    <w:rsid w:val="00415521"/>
    <w:rsid w:val="00416F1E"/>
    <w:rsid w:val="00416F49"/>
    <w:rsid w:val="004179B7"/>
    <w:rsid w:val="0042045B"/>
    <w:rsid w:val="0042124E"/>
    <w:rsid w:val="00421997"/>
    <w:rsid w:val="00423B93"/>
    <w:rsid w:val="004311A4"/>
    <w:rsid w:val="004321E5"/>
    <w:rsid w:val="00432D9C"/>
    <w:rsid w:val="004332AD"/>
    <w:rsid w:val="00434D78"/>
    <w:rsid w:val="004359F3"/>
    <w:rsid w:val="00437087"/>
    <w:rsid w:val="0043772E"/>
    <w:rsid w:val="00440792"/>
    <w:rsid w:val="00440CA1"/>
    <w:rsid w:val="004424F0"/>
    <w:rsid w:val="00442AF1"/>
    <w:rsid w:val="004447F3"/>
    <w:rsid w:val="00444EC1"/>
    <w:rsid w:val="004455C6"/>
    <w:rsid w:val="004502FB"/>
    <w:rsid w:val="00451206"/>
    <w:rsid w:val="00451307"/>
    <w:rsid w:val="00453BAA"/>
    <w:rsid w:val="00460103"/>
    <w:rsid w:val="00461242"/>
    <w:rsid w:val="004633DF"/>
    <w:rsid w:val="004641F4"/>
    <w:rsid w:val="0046651D"/>
    <w:rsid w:val="00466681"/>
    <w:rsid w:val="00466CBC"/>
    <w:rsid w:val="00467EF2"/>
    <w:rsid w:val="0047162D"/>
    <w:rsid w:val="00477269"/>
    <w:rsid w:val="00480F2B"/>
    <w:rsid w:val="004810C9"/>
    <w:rsid w:val="00481153"/>
    <w:rsid w:val="004811C5"/>
    <w:rsid w:val="00481DB0"/>
    <w:rsid w:val="00484BBB"/>
    <w:rsid w:val="00485D4E"/>
    <w:rsid w:val="00490417"/>
    <w:rsid w:val="0049194C"/>
    <w:rsid w:val="00493549"/>
    <w:rsid w:val="00495D14"/>
    <w:rsid w:val="004A1A04"/>
    <w:rsid w:val="004A758F"/>
    <w:rsid w:val="004B0A15"/>
    <w:rsid w:val="004B240E"/>
    <w:rsid w:val="004B7E55"/>
    <w:rsid w:val="004C14E3"/>
    <w:rsid w:val="004C1C67"/>
    <w:rsid w:val="004C7C21"/>
    <w:rsid w:val="004D1020"/>
    <w:rsid w:val="004D1D45"/>
    <w:rsid w:val="004D2D84"/>
    <w:rsid w:val="004D4D66"/>
    <w:rsid w:val="004D5416"/>
    <w:rsid w:val="004E01F8"/>
    <w:rsid w:val="004E0BD9"/>
    <w:rsid w:val="004E3103"/>
    <w:rsid w:val="004E7864"/>
    <w:rsid w:val="004F4A48"/>
    <w:rsid w:val="004F5524"/>
    <w:rsid w:val="004F56A7"/>
    <w:rsid w:val="004F6989"/>
    <w:rsid w:val="004F6F0E"/>
    <w:rsid w:val="004F7768"/>
    <w:rsid w:val="0050117A"/>
    <w:rsid w:val="00501421"/>
    <w:rsid w:val="00502401"/>
    <w:rsid w:val="00502F80"/>
    <w:rsid w:val="00503293"/>
    <w:rsid w:val="005033C4"/>
    <w:rsid w:val="00503B3B"/>
    <w:rsid w:val="00505F1C"/>
    <w:rsid w:val="00507831"/>
    <w:rsid w:val="005123A0"/>
    <w:rsid w:val="00514691"/>
    <w:rsid w:val="00515346"/>
    <w:rsid w:val="00515D35"/>
    <w:rsid w:val="00521947"/>
    <w:rsid w:val="00521CAB"/>
    <w:rsid w:val="005254EF"/>
    <w:rsid w:val="005264D4"/>
    <w:rsid w:val="005266BE"/>
    <w:rsid w:val="005268AF"/>
    <w:rsid w:val="00531243"/>
    <w:rsid w:val="00536B50"/>
    <w:rsid w:val="005422CA"/>
    <w:rsid w:val="0054408A"/>
    <w:rsid w:val="005446CF"/>
    <w:rsid w:val="005460C2"/>
    <w:rsid w:val="00547B71"/>
    <w:rsid w:val="005512FE"/>
    <w:rsid w:val="005516D4"/>
    <w:rsid w:val="00553253"/>
    <w:rsid w:val="00553465"/>
    <w:rsid w:val="00556225"/>
    <w:rsid w:val="00557B95"/>
    <w:rsid w:val="005608F3"/>
    <w:rsid w:val="00561E8C"/>
    <w:rsid w:val="005630F4"/>
    <w:rsid w:val="00564376"/>
    <w:rsid w:val="0056571C"/>
    <w:rsid w:val="00566BA5"/>
    <w:rsid w:val="00570E3C"/>
    <w:rsid w:val="005754EF"/>
    <w:rsid w:val="00576F56"/>
    <w:rsid w:val="00582E15"/>
    <w:rsid w:val="00582FF9"/>
    <w:rsid w:val="00583DC7"/>
    <w:rsid w:val="00585E3E"/>
    <w:rsid w:val="00585E8B"/>
    <w:rsid w:val="005867B1"/>
    <w:rsid w:val="005878A5"/>
    <w:rsid w:val="00591D17"/>
    <w:rsid w:val="00592A8A"/>
    <w:rsid w:val="00593066"/>
    <w:rsid w:val="005944E3"/>
    <w:rsid w:val="00597257"/>
    <w:rsid w:val="005A19FD"/>
    <w:rsid w:val="005A3364"/>
    <w:rsid w:val="005A3AD3"/>
    <w:rsid w:val="005A45BF"/>
    <w:rsid w:val="005A5338"/>
    <w:rsid w:val="005A5D59"/>
    <w:rsid w:val="005A76A7"/>
    <w:rsid w:val="005A7EE3"/>
    <w:rsid w:val="005B2910"/>
    <w:rsid w:val="005B35B8"/>
    <w:rsid w:val="005B50E7"/>
    <w:rsid w:val="005B5762"/>
    <w:rsid w:val="005B5B66"/>
    <w:rsid w:val="005B6FCF"/>
    <w:rsid w:val="005B727B"/>
    <w:rsid w:val="005C19B4"/>
    <w:rsid w:val="005C36E0"/>
    <w:rsid w:val="005C4FDB"/>
    <w:rsid w:val="005C55AC"/>
    <w:rsid w:val="005C7763"/>
    <w:rsid w:val="005D2081"/>
    <w:rsid w:val="005D3E35"/>
    <w:rsid w:val="005D4104"/>
    <w:rsid w:val="005D676D"/>
    <w:rsid w:val="005D686D"/>
    <w:rsid w:val="005D7D27"/>
    <w:rsid w:val="005E2EE2"/>
    <w:rsid w:val="005E5D10"/>
    <w:rsid w:val="005E6D4D"/>
    <w:rsid w:val="005F15DB"/>
    <w:rsid w:val="005F4F19"/>
    <w:rsid w:val="005F60F5"/>
    <w:rsid w:val="005F7CC8"/>
    <w:rsid w:val="0060199E"/>
    <w:rsid w:val="006042FD"/>
    <w:rsid w:val="00606E47"/>
    <w:rsid w:val="00617A43"/>
    <w:rsid w:val="00622C45"/>
    <w:rsid w:val="0062348A"/>
    <w:rsid w:val="0062370B"/>
    <w:rsid w:val="0062544E"/>
    <w:rsid w:val="006260DD"/>
    <w:rsid w:val="00626515"/>
    <w:rsid w:val="006266C7"/>
    <w:rsid w:val="00627C50"/>
    <w:rsid w:val="006326E4"/>
    <w:rsid w:val="00633BF4"/>
    <w:rsid w:val="0063671D"/>
    <w:rsid w:val="006413E7"/>
    <w:rsid w:val="00641658"/>
    <w:rsid w:val="006441CA"/>
    <w:rsid w:val="0064475D"/>
    <w:rsid w:val="00644B41"/>
    <w:rsid w:val="006503CF"/>
    <w:rsid w:val="006506EF"/>
    <w:rsid w:val="006511D5"/>
    <w:rsid w:val="00651C3A"/>
    <w:rsid w:val="00652410"/>
    <w:rsid w:val="006613B2"/>
    <w:rsid w:val="00661B06"/>
    <w:rsid w:val="00663579"/>
    <w:rsid w:val="006658FF"/>
    <w:rsid w:val="0066735F"/>
    <w:rsid w:val="00671838"/>
    <w:rsid w:val="0067261C"/>
    <w:rsid w:val="00672D5C"/>
    <w:rsid w:val="00674D16"/>
    <w:rsid w:val="00675148"/>
    <w:rsid w:val="0067613B"/>
    <w:rsid w:val="00676B22"/>
    <w:rsid w:val="00683D20"/>
    <w:rsid w:val="00690B7B"/>
    <w:rsid w:val="00692D13"/>
    <w:rsid w:val="00694F54"/>
    <w:rsid w:val="00696935"/>
    <w:rsid w:val="00697C35"/>
    <w:rsid w:val="006A0070"/>
    <w:rsid w:val="006A0415"/>
    <w:rsid w:val="006A0D88"/>
    <w:rsid w:val="006A10BD"/>
    <w:rsid w:val="006A3D2A"/>
    <w:rsid w:val="006A4687"/>
    <w:rsid w:val="006A4CE4"/>
    <w:rsid w:val="006A6301"/>
    <w:rsid w:val="006B01A1"/>
    <w:rsid w:val="006B06A3"/>
    <w:rsid w:val="006B29B3"/>
    <w:rsid w:val="006B2CB0"/>
    <w:rsid w:val="006B4421"/>
    <w:rsid w:val="006B731C"/>
    <w:rsid w:val="006C28A1"/>
    <w:rsid w:val="006C29F5"/>
    <w:rsid w:val="006C2ADA"/>
    <w:rsid w:val="006C2E34"/>
    <w:rsid w:val="006C40E5"/>
    <w:rsid w:val="006C51B7"/>
    <w:rsid w:val="006C6C97"/>
    <w:rsid w:val="006C796A"/>
    <w:rsid w:val="006D0082"/>
    <w:rsid w:val="006D043C"/>
    <w:rsid w:val="006D2084"/>
    <w:rsid w:val="006D343F"/>
    <w:rsid w:val="006D3C23"/>
    <w:rsid w:val="006D72AD"/>
    <w:rsid w:val="006D7CF0"/>
    <w:rsid w:val="006E3035"/>
    <w:rsid w:val="0071003E"/>
    <w:rsid w:val="007104EC"/>
    <w:rsid w:val="007210BF"/>
    <w:rsid w:val="00722121"/>
    <w:rsid w:val="00722D45"/>
    <w:rsid w:val="00723E28"/>
    <w:rsid w:val="00724B3B"/>
    <w:rsid w:val="007264F0"/>
    <w:rsid w:val="007266BC"/>
    <w:rsid w:val="00727A2E"/>
    <w:rsid w:val="00740868"/>
    <w:rsid w:val="0074414A"/>
    <w:rsid w:val="007442A0"/>
    <w:rsid w:val="00745500"/>
    <w:rsid w:val="00750D3A"/>
    <w:rsid w:val="007518EE"/>
    <w:rsid w:val="00760203"/>
    <w:rsid w:val="0076156B"/>
    <w:rsid w:val="0076160F"/>
    <w:rsid w:val="0076296D"/>
    <w:rsid w:val="00763FA1"/>
    <w:rsid w:val="007645D3"/>
    <w:rsid w:val="00765D43"/>
    <w:rsid w:val="0076751F"/>
    <w:rsid w:val="00770582"/>
    <w:rsid w:val="0077139E"/>
    <w:rsid w:val="0077155C"/>
    <w:rsid w:val="0077278B"/>
    <w:rsid w:val="00772BE9"/>
    <w:rsid w:val="00772F4C"/>
    <w:rsid w:val="007734F7"/>
    <w:rsid w:val="007743B2"/>
    <w:rsid w:val="007758EB"/>
    <w:rsid w:val="00780986"/>
    <w:rsid w:val="00782AFC"/>
    <w:rsid w:val="00783DB0"/>
    <w:rsid w:val="00785FC4"/>
    <w:rsid w:val="00787A39"/>
    <w:rsid w:val="007903A0"/>
    <w:rsid w:val="00791651"/>
    <w:rsid w:val="00792976"/>
    <w:rsid w:val="00792AE8"/>
    <w:rsid w:val="00792DA9"/>
    <w:rsid w:val="00793F9B"/>
    <w:rsid w:val="0079774A"/>
    <w:rsid w:val="007977EB"/>
    <w:rsid w:val="007A2B79"/>
    <w:rsid w:val="007A4073"/>
    <w:rsid w:val="007A4F5E"/>
    <w:rsid w:val="007A7645"/>
    <w:rsid w:val="007A7B20"/>
    <w:rsid w:val="007B06B4"/>
    <w:rsid w:val="007B12DD"/>
    <w:rsid w:val="007B162E"/>
    <w:rsid w:val="007B2E54"/>
    <w:rsid w:val="007B32C2"/>
    <w:rsid w:val="007B48CB"/>
    <w:rsid w:val="007B4B4C"/>
    <w:rsid w:val="007B58FF"/>
    <w:rsid w:val="007B5D4E"/>
    <w:rsid w:val="007B6470"/>
    <w:rsid w:val="007B729A"/>
    <w:rsid w:val="007C039B"/>
    <w:rsid w:val="007C20D2"/>
    <w:rsid w:val="007C2986"/>
    <w:rsid w:val="007C3BD2"/>
    <w:rsid w:val="007D1F23"/>
    <w:rsid w:val="007D4CD6"/>
    <w:rsid w:val="007D76A4"/>
    <w:rsid w:val="007E095B"/>
    <w:rsid w:val="007E4E11"/>
    <w:rsid w:val="007E5CDC"/>
    <w:rsid w:val="007E723D"/>
    <w:rsid w:val="007E7BBF"/>
    <w:rsid w:val="007F0464"/>
    <w:rsid w:val="007F07C1"/>
    <w:rsid w:val="007F1014"/>
    <w:rsid w:val="007F2C52"/>
    <w:rsid w:val="007F30CE"/>
    <w:rsid w:val="007F4C51"/>
    <w:rsid w:val="007F6DCF"/>
    <w:rsid w:val="00802D68"/>
    <w:rsid w:val="00807599"/>
    <w:rsid w:val="00807A95"/>
    <w:rsid w:val="00807D88"/>
    <w:rsid w:val="00810E64"/>
    <w:rsid w:val="008140D8"/>
    <w:rsid w:val="0081417A"/>
    <w:rsid w:val="008155E6"/>
    <w:rsid w:val="00816BD6"/>
    <w:rsid w:val="0082279C"/>
    <w:rsid w:val="008230B1"/>
    <w:rsid w:val="00824F13"/>
    <w:rsid w:val="008303A5"/>
    <w:rsid w:val="0083209B"/>
    <w:rsid w:val="008330AC"/>
    <w:rsid w:val="0083324A"/>
    <w:rsid w:val="00841B5D"/>
    <w:rsid w:val="00841BE4"/>
    <w:rsid w:val="008424D5"/>
    <w:rsid w:val="008439A1"/>
    <w:rsid w:val="008446C0"/>
    <w:rsid w:val="00846E4C"/>
    <w:rsid w:val="00846FDD"/>
    <w:rsid w:val="008470BE"/>
    <w:rsid w:val="008473FA"/>
    <w:rsid w:val="00851008"/>
    <w:rsid w:val="0085324E"/>
    <w:rsid w:val="00854BC1"/>
    <w:rsid w:val="008562D0"/>
    <w:rsid w:val="00856EED"/>
    <w:rsid w:val="0086290F"/>
    <w:rsid w:val="00862936"/>
    <w:rsid w:val="008630F6"/>
    <w:rsid w:val="008640CF"/>
    <w:rsid w:val="0086521B"/>
    <w:rsid w:val="00866350"/>
    <w:rsid w:val="0086673B"/>
    <w:rsid w:val="00866796"/>
    <w:rsid w:val="008670D2"/>
    <w:rsid w:val="00870ECF"/>
    <w:rsid w:val="00871364"/>
    <w:rsid w:val="008730DE"/>
    <w:rsid w:val="00873837"/>
    <w:rsid w:val="00876233"/>
    <w:rsid w:val="008818A1"/>
    <w:rsid w:val="00882F76"/>
    <w:rsid w:val="00883E0F"/>
    <w:rsid w:val="0088549F"/>
    <w:rsid w:val="00886B64"/>
    <w:rsid w:val="00886D35"/>
    <w:rsid w:val="008944C7"/>
    <w:rsid w:val="00894FA1"/>
    <w:rsid w:val="008954B1"/>
    <w:rsid w:val="008960B2"/>
    <w:rsid w:val="00896C55"/>
    <w:rsid w:val="00897F7C"/>
    <w:rsid w:val="008A05AB"/>
    <w:rsid w:val="008A1C1F"/>
    <w:rsid w:val="008A2219"/>
    <w:rsid w:val="008A28F5"/>
    <w:rsid w:val="008A2C68"/>
    <w:rsid w:val="008A3BCB"/>
    <w:rsid w:val="008A4004"/>
    <w:rsid w:val="008A526D"/>
    <w:rsid w:val="008A6202"/>
    <w:rsid w:val="008B0FBF"/>
    <w:rsid w:val="008B3EF5"/>
    <w:rsid w:val="008C076B"/>
    <w:rsid w:val="008C266F"/>
    <w:rsid w:val="008C4213"/>
    <w:rsid w:val="008C44CB"/>
    <w:rsid w:val="008D0714"/>
    <w:rsid w:val="008D076F"/>
    <w:rsid w:val="008D14A0"/>
    <w:rsid w:val="008D4AC2"/>
    <w:rsid w:val="008D4C98"/>
    <w:rsid w:val="008D4F05"/>
    <w:rsid w:val="008D52AB"/>
    <w:rsid w:val="008D6864"/>
    <w:rsid w:val="008E39A8"/>
    <w:rsid w:val="008E7DEA"/>
    <w:rsid w:val="008F20C9"/>
    <w:rsid w:val="008F390A"/>
    <w:rsid w:val="008F3B1F"/>
    <w:rsid w:val="008F5043"/>
    <w:rsid w:val="008F748F"/>
    <w:rsid w:val="008F75C5"/>
    <w:rsid w:val="00900743"/>
    <w:rsid w:val="0090429E"/>
    <w:rsid w:val="00905072"/>
    <w:rsid w:val="00907FD1"/>
    <w:rsid w:val="00913320"/>
    <w:rsid w:val="00913535"/>
    <w:rsid w:val="009141F9"/>
    <w:rsid w:val="009144B5"/>
    <w:rsid w:val="00923168"/>
    <w:rsid w:val="009248CA"/>
    <w:rsid w:val="00926C6F"/>
    <w:rsid w:val="0092707B"/>
    <w:rsid w:val="00931529"/>
    <w:rsid w:val="00932A8A"/>
    <w:rsid w:val="00933627"/>
    <w:rsid w:val="00935011"/>
    <w:rsid w:val="00935B5A"/>
    <w:rsid w:val="00937C68"/>
    <w:rsid w:val="009421F4"/>
    <w:rsid w:val="00943487"/>
    <w:rsid w:val="00944B1C"/>
    <w:rsid w:val="00944E4F"/>
    <w:rsid w:val="00946F28"/>
    <w:rsid w:val="009474AA"/>
    <w:rsid w:val="00947FF3"/>
    <w:rsid w:val="009535D8"/>
    <w:rsid w:val="00954B0F"/>
    <w:rsid w:val="00955987"/>
    <w:rsid w:val="00955A2D"/>
    <w:rsid w:val="00955B44"/>
    <w:rsid w:val="00961836"/>
    <w:rsid w:val="00961B56"/>
    <w:rsid w:val="00962B02"/>
    <w:rsid w:val="00962DE0"/>
    <w:rsid w:val="00962E2F"/>
    <w:rsid w:val="0096483C"/>
    <w:rsid w:val="0096665E"/>
    <w:rsid w:val="009672EE"/>
    <w:rsid w:val="00967358"/>
    <w:rsid w:val="00971BAC"/>
    <w:rsid w:val="009724D0"/>
    <w:rsid w:val="00975B6E"/>
    <w:rsid w:val="00975F5A"/>
    <w:rsid w:val="00977D5E"/>
    <w:rsid w:val="00982B80"/>
    <w:rsid w:val="00984C83"/>
    <w:rsid w:val="00984F2D"/>
    <w:rsid w:val="00986776"/>
    <w:rsid w:val="0099285B"/>
    <w:rsid w:val="00996BEF"/>
    <w:rsid w:val="009976A0"/>
    <w:rsid w:val="009978C2"/>
    <w:rsid w:val="00997EED"/>
    <w:rsid w:val="009A2A0A"/>
    <w:rsid w:val="009A52AD"/>
    <w:rsid w:val="009A662C"/>
    <w:rsid w:val="009A76E2"/>
    <w:rsid w:val="009B383F"/>
    <w:rsid w:val="009B42FE"/>
    <w:rsid w:val="009B6D8C"/>
    <w:rsid w:val="009C10C3"/>
    <w:rsid w:val="009C1549"/>
    <w:rsid w:val="009C1771"/>
    <w:rsid w:val="009C2803"/>
    <w:rsid w:val="009C330A"/>
    <w:rsid w:val="009C48C2"/>
    <w:rsid w:val="009C7D0E"/>
    <w:rsid w:val="009D3802"/>
    <w:rsid w:val="009D7035"/>
    <w:rsid w:val="009F0057"/>
    <w:rsid w:val="009F09E0"/>
    <w:rsid w:val="009F0EC1"/>
    <w:rsid w:val="009F1C30"/>
    <w:rsid w:val="009F1F9E"/>
    <w:rsid w:val="009F2EBB"/>
    <w:rsid w:val="009F7417"/>
    <w:rsid w:val="00A01ED4"/>
    <w:rsid w:val="00A034A5"/>
    <w:rsid w:val="00A04127"/>
    <w:rsid w:val="00A10290"/>
    <w:rsid w:val="00A10430"/>
    <w:rsid w:val="00A11AB5"/>
    <w:rsid w:val="00A165A8"/>
    <w:rsid w:val="00A172A4"/>
    <w:rsid w:val="00A17419"/>
    <w:rsid w:val="00A220FD"/>
    <w:rsid w:val="00A22E65"/>
    <w:rsid w:val="00A24D0C"/>
    <w:rsid w:val="00A2678A"/>
    <w:rsid w:val="00A27373"/>
    <w:rsid w:val="00A3484E"/>
    <w:rsid w:val="00A350F7"/>
    <w:rsid w:val="00A35E36"/>
    <w:rsid w:val="00A36F3D"/>
    <w:rsid w:val="00A42A0E"/>
    <w:rsid w:val="00A444AD"/>
    <w:rsid w:val="00A470D6"/>
    <w:rsid w:val="00A47C57"/>
    <w:rsid w:val="00A503B3"/>
    <w:rsid w:val="00A50405"/>
    <w:rsid w:val="00A51092"/>
    <w:rsid w:val="00A5130F"/>
    <w:rsid w:val="00A51B7B"/>
    <w:rsid w:val="00A5456C"/>
    <w:rsid w:val="00A54C59"/>
    <w:rsid w:val="00A55B9E"/>
    <w:rsid w:val="00A561DA"/>
    <w:rsid w:val="00A56286"/>
    <w:rsid w:val="00A56896"/>
    <w:rsid w:val="00A61574"/>
    <w:rsid w:val="00A62905"/>
    <w:rsid w:val="00A62CE9"/>
    <w:rsid w:val="00A64C0C"/>
    <w:rsid w:val="00A66B9F"/>
    <w:rsid w:val="00A70559"/>
    <w:rsid w:val="00A75846"/>
    <w:rsid w:val="00A811BF"/>
    <w:rsid w:val="00A834F2"/>
    <w:rsid w:val="00A835B7"/>
    <w:rsid w:val="00A85CAC"/>
    <w:rsid w:val="00A86978"/>
    <w:rsid w:val="00A878FA"/>
    <w:rsid w:val="00A87E19"/>
    <w:rsid w:val="00A91BCC"/>
    <w:rsid w:val="00A94F77"/>
    <w:rsid w:val="00A965B2"/>
    <w:rsid w:val="00A97D10"/>
    <w:rsid w:val="00AA0D84"/>
    <w:rsid w:val="00AA1907"/>
    <w:rsid w:val="00AA19EB"/>
    <w:rsid w:val="00AA2B35"/>
    <w:rsid w:val="00AA4143"/>
    <w:rsid w:val="00AA46DC"/>
    <w:rsid w:val="00AA7145"/>
    <w:rsid w:val="00AB0BA4"/>
    <w:rsid w:val="00AB3D5A"/>
    <w:rsid w:val="00AB4528"/>
    <w:rsid w:val="00AB693C"/>
    <w:rsid w:val="00AB7DDC"/>
    <w:rsid w:val="00AC5DA0"/>
    <w:rsid w:val="00AC7E3A"/>
    <w:rsid w:val="00AD0DCE"/>
    <w:rsid w:val="00AD117B"/>
    <w:rsid w:val="00AD25C0"/>
    <w:rsid w:val="00AD2B1D"/>
    <w:rsid w:val="00AD5D64"/>
    <w:rsid w:val="00AD67C0"/>
    <w:rsid w:val="00AD7105"/>
    <w:rsid w:val="00AD7596"/>
    <w:rsid w:val="00AD7A6E"/>
    <w:rsid w:val="00AE3994"/>
    <w:rsid w:val="00AE3B85"/>
    <w:rsid w:val="00AE3FF2"/>
    <w:rsid w:val="00AE6FB0"/>
    <w:rsid w:val="00AF019E"/>
    <w:rsid w:val="00AF531F"/>
    <w:rsid w:val="00AF65A0"/>
    <w:rsid w:val="00AF736C"/>
    <w:rsid w:val="00B01926"/>
    <w:rsid w:val="00B032C0"/>
    <w:rsid w:val="00B056E7"/>
    <w:rsid w:val="00B057A3"/>
    <w:rsid w:val="00B057D1"/>
    <w:rsid w:val="00B135D7"/>
    <w:rsid w:val="00B13B90"/>
    <w:rsid w:val="00B14AA8"/>
    <w:rsid w:val="00B17F80"/>
    <w:rsid w:val="00B20133"/>
    <w:rsid w:val="00B20AD9"/>
    <w:rsid w:val="00B215F0"/>
    <w:rsid w:val="00B231BE"/>
    <w:rsid w:val="00B23C64"/>
    <w:rsid w:val="00B2767C"/>
    <w:rsid w:val="00B30F28"/>
    <w:rsid w:val="00B34197"/>
    <w:rsid w:val="00B370E7"/>
    <w:rsid w:val="00B37DDD"/>
    <w:rsid w:val="00B40161"/>
    <w:rsid w:val="00B43219"/>
    <w:rsid w:val="00B454D4"/>
    <w:rsid w:val="00B464AD"/>
    <w:rsid w:val="00B47A4E"/>
    <w:rsid w:val="00B47C3A"/>
    <w:rsid w:val="00B50A15"/>
    <w:rsid w:val="00B53671"/>
    <w:rsid w:val="00B541B7"/>
    <w:rsid w:val="00B545F1"/>
    <w:rsid w:val="00B5467C"/>
    <w:rsid w:val="00B5474C"/>
    <w:rsid w:val="00B54DE0"/>
    <w:rsid w:val="00B54F03"/>
    <w:rsid w:val="00B563D0"/>
    <w:rsid w:val="00B57434"/>
    <w:rsid w:val="00B577F8"/>
    <w:rsid w:val="00B6282C"/>
    <w:rsid w:val="00B63598"/>
    <w:rsid w:val="00B64385"/>
    <w:rsid w:val="00B660DB"/>
    <w:rsid w:val="00B662BE"/>
    <w:rsid w:val="00B70412"/>
    <w:rsid w:val="00B71618"/>
    <w:rsid w:val="00B71843"/>
    <w:rsid w:val="00B7270E"/>
    <w:rsid w:val="00B73505"/>
    <w:rsid w:val="00B751D2"/>
    <w:rsid w:val="00B76712"/>
    <w:rsid w:val="00B82510"/>
    <w:rsid w:val="00B82BBC"/>
    <w:rsid w:val="00B8406D"/>
    <w:rsid w:val="00B846A4"/>
    <w:rsid w:val="00B85257"/>
    <w:rsid w:val="00B862A6"/>
    <w:rsid w:val="00B86B77"/>
    <w:rsid w:val="00B86B90"/>
    <w:rsid w:val="00B87E0C"/>
    <w:rsid w:val="00B87EA8"/>
    <w:rsid w:val="00B91142"/>
    <w:rsid w:val="00B91149"/>
    <w:rsid w:val="00B91948"/>
    <w:rsid w:val="00B928C1"/>
    <w:rsid w:val="00B93CDE"/>
    <w:rsid w:val="00B97B1C"/>
    <w:rsid w:val="00BA1020"/>
    <w:rsid w:val="00BA232F"/>
    <w:rsid w:val="00BA31B8"/>
    <w:rsid w:val="00BA428E"/>
    <w:rsid w:val="00BA4655"/>
    <w:rsid w:val="00BA6DCD"/>
    <w:rsid w:val="00BB0962"/>
    <w:rsid w:val="00BB3DB7"/>
    <w:rsid w:val="00BB6149"/>
    <w:rsid w:val="00BC0415"/>
    <w:rsid w:val="00BC11E4"/>
    <w:rsid w:val="00BC172A"/>
    <w:rsid w:val="00BC3F41"/>
    <w:rsid w:val="00BC4740"/>
    <w:rsid w:val="00BC71EB"/>
    <w:rsid w:val="00BC7FB0"/>
    <w:rsid w:val="00BD08A8"/>
    <w:rsid w:val="00BD1CEB"/>
    <w:rsid w:val="00BD6D29"/>
    <w:rsid w:val="00BD7324"/>
    <w:rsid w:val="00BD76CA"/>
    <w:rsid w:val="00BE0599"/>
    <w:rsid w:val="00BE1D8B"/>
    <w:rsid w:val="00BE242D"/>
    <w:rsid w:val="00BE3C4C"/>
    <w:rsid w:val="00BE4CB3"/>
    <w:rsid w:val="00BE6B3E"/>
    <w:rsid w:val="00BE7311"/>
    <w:rsid w:val="00BE7763"/>
    <w:rsid w:val="00BF0C78"/>
    <w:rsid w:val="00BF0ED6"/>
    <w:rsid w:val="00BF372C"/>
    <w:rsid w:val="00BF5910"/>
    <w:rsid w:val="00BF7A76"/>
    <w:rsid w:val="00C07B0B"/>
    <w:rsid w:val="00C12844"/>
    <w:rsid w:val="00C14951"/>
    <w:rsid w:val="00C161F3"/>
    <w:rsid w:val="00C1785E"/>
    <w:rsid w:val="00C205CD"/>
    <w:rsid w:val="00C20FBB"/>
    <w:rsid w:val="00C22B96"/>
    <w:rsid w:val="00C24A49"/>
    <w:rsid w:val="00C24E12"/>
    <w:rsid w:val="00C2588A"/>
    <w:rsid w:val="00C34C71"/>
    <w:rsid w:val="00C41917"/>
    <w:rsid w:val="00C42388"/>
    <w:rsid w:val="00C43EDB"/>
    <w:rsid w:val="00C45766"/>
    <w:rsid w:val="00C5063F"/>
    <w:rsid w:val="00C53F75"/>
    <w:rsid w:val="00C6174D"/>
    <w:rsid w:val="00C619F6"/>
    <w:rsid w:val="00C62D4A"/>
    <w:rsid w:val="00C635AB"/>
    <w:rsid w:val="00C63CF7"/>
    <w:rsid w:val="00C6647E"/>
    <w:rsid w:val="00C67827"/>
    <w:rsid w:val="00C71070"/>
    <w:rsid w:val="00C728A7"/>
    <w:rsid w:val="00C73A5A"/>
    <w:rsid w:val="00C74387"/>
    <w:rsid w:val="00C753D3"/>
    <w:rsid w:val="00C754B1"/>
    <w:rsid w:val="00C75746"/>
    <w:rsid w:val="00C8031D"/>
    <w:rsid w:val="00C80C49"/>
    <w:rsid w:val="00C81F01"/>
    <w:rsid w:val="00C8267D"/>
    <w:rsid w:val="00C8447D"/>
    <w:rsid w:val="00C85308"/>
    <w:rsid w:val="00C85C19"/>
    <w:rsid w:val="00C86029"/>
    <w:rsid w:val="00C86AFD"/>
    <w:rsid w:val="00C86C94"/>
    <w:rsid w:val="00C875F9"/>
    <w:rsid w:val="00C87E8C"/>
    <w:rsid w:val="00C93158"/>
    <w:rsid w:val="00C93CAB"/>
    <w:rsid w:val="00C93E29"/>
    <w:rsid w:val="00C95AAE"/>
    <w:rsid w:val="00C96D4E"/>
    <w:rsid w:val="00C96FAC"/>
    <w:rsid w:val="00CA0177"/>
    <w:rsid w:val="00CA2A8B"/>
    <w:rsid w:val="00CA31BA"/>
    <w:rsid w:val="00CA3A30"/>
    <w:rsid w:val="00CA4AFC"/>
    <w:rsid w:val="00CA77DD"/>
    <w:rsid w:val="00CB198B"/>
    <w:rsid w:val="00CB3619"/>
    <w:rsid w:val="00CB5E8E"/>
    <w:rsid w:val="00CB7E40"/>
    <w:rsid w:val="00CC0203"/>
    <w:rsid w:val="00CC0665"/>
    <w:rsid w:val="00CC0B53"/>
    <w:rsid w:val="00CC3082"/>
    <w:rsid w:val="00CC40AE"/>
    <w:rsid w:val="00CD7009"/>
    <w:rsid w:val="00CE2158"/>
    <w:rsid w:val="00CE4EA5"/>
    <w:rsid w:val="00CF101C"/>
    <w:rsid w:val="00CF1CF9"/>
    <w:rsid w:val="00CF217A"/>
    <w:rsid w:val="00CF2B67"/>
    <w:rsid w:val="00CF5482"/>
    <w:rsid w:val="00CF54D2"/>
    <w:rsid w:val="00CF6141"/>
    <w:rsid w:val="00CF631B"/>
    <w:rsid w:val="00CF7341"/>
    <w:rsid w:val="00CF7EC9"/>
    <w:rsid w:val="00D0446A"/>
    <w:rsid w:val="00D06309"/>
    <w:rsid w:val="00D063AF"/>
    <w:rsid w:val="00D06F1B"/>
    <w:rsid w:val="00D10D3F"/>
    <w:rsid w:val="00D11E87"/>
    <w:rsid w:val="00D12FB6"/>
    <w:rsid w:val="00D14532"/>
    <w:rsid w:val="00D14C3D"/>
    <w:rsid w:val="00D167AA"/>
    <w:rsid w:val="00D1731B"/>
    <w:rsid w:val="00D17EF5"/>
    <w:rsid w:val="00D21ED0"/>
    <w:rsid w:val="00D21EE9"/>
    <w:rsid w:val="00D24A83"/>
    <w:rsid w:val="00D251BE"/>
    <w:rsid w:val="00D26112"/>
    <w:rsid w:val="00D26400"/>
    <w:rsid w:val="00D26802"/>
    <w:rsid w:val="00D26830"/>
    <w:rsid w:val="00D27D65"/>
    <w:rsid w:val="00D301FD"/>
    <w:rsid w:val="00D309B9"/>
    <w:rsid w:val="00D32CC6"/>
    <w:rsid w:val="00D33B95"/>
    <w:rsid w:val="00D34617"/>
    <w:rsid w:val="00D37767"/>
    <w:rsid w:val="00D37BE1"/>
    <w:rsid w:val="00D42475"/>
    <w:rsid w:val="00D436E0"/>
    <w:rsid w:val="00D44F25"/>
    <w:rsid w:val="00D44FBA"/>
    <w:rsid w:val="00D5133E"/>
    <w:rsid w:val="00D575EC"/>
    <w:rsid w:val="00D6018C"/>
    <w:rsid w:val="00D613E1"/>
    <w:rsid w:val="00D623FC"/>
    <w:rsid w:val="00D64072"/>
    <w:rsid w:val="00D65B23"/>
    <w:rsid w:val="00D666F5"/>
    <w:rsid w:val="00D67E0C"/>
    <w:rsid w:val="00D70205"/>
    <w:rsid w:val="00D7079C"/>
    <w:rsid w:val="00D70EE7"/>
    <w:rsid w:val="00D71224"/>
    <w:rsid w:val="00D7263F"/>
    <w:rsid w:val="00D7446C"/>
    <w:rsid w:val="00D77AF7"/>
    <w:rsid w:val="00D81CFC"/>
    <w:rsid w:val="00D824F1"/>
    <w:rsid w:val="00D8390B"/>
    <w:rsid w:val="00D85837"/>
    <w:rsid w:val="00D862D3"/>
    <w:rsid w:val="00D8740F"/>
    <w:rsid w:val="00D8788C"/>
    <w:rsid w:val="00D87E09"/>
    <w:rsid w:val="00D903F3"/>
    <w:rsid w:val="00D90F27"/>
    <w:rsid w:val="00D97258"/>
    <w:rsid w:val="00DA024D"/>
    <w:rsid w:val="00DA0339"/>
    <w:rsid w:val="00DA1A7A"/>
    <w:rsid w:val="00DA1DD0"/>
    <w:rsid w:val="00DA226E"/>
    <w:rsid w:val="00DA29E0"/>
    <w:rsid w:val="00DA30BD"/>
    <w:rsid w:val="00DA5FEF"/>
    <w:rsid w:val="00DA730C"/>
    <w:rsid w:val="00DA7DC1"/>
    <w:rsid w:val="00DB2C4C"/>
    <w:rsid w:val="00DB44FF"/>
    <w:rsid w:val="00DB5C24"/>
    <w:rsid w:val="00DB6687"/>
    <w:rsid w:val="00DC15E4"/>
    <w:rsid w:val="00DC2490"/>
    <w:rsid w:val="00DC3915"/>
    <w:rsid w:val="00DC5FAE"/>
    <w:rsid w:val="00DC60FE"/>
    <w:rsid w:val="00DC6752"/>
    <w:rsid w:val="00DD04DC"/>
    <w:rsid w:val="00DD12B5"/>
    <w:rsid w:val="00DD18CC"/>
    <w:rsid w:val="00DD1E82"/>
    <w:rsid w:val="00DD420F"/>
    <w:rsid w:val="00DD7EA9"/>
    <w:rsid w:val="00DE0D1B"/>
    <w:rsid w:val="00DE3943"/>
    <w:rsid w:val="00DE3BA2"/>
    <w:rsid w:val="00DE437A"/>
    <w:rsid w:val="00DE474F"/>
    <w:rsid w:val="00DF10D9"/>
    <w:rsid w:val="00DF1A83"/>
    <w:rsid w:val="00DF33E9"/>
    <w:rsid w:val="00DF5BBF"/>
    <w:rsid w:val="00DF6F38"/>
    <w:rsid w:val="00E00CAE"/>
    <w:rsid w:val="00E01DBF"/>
    <w:rsid w:val="00E07DEB"/>
    <w:rsid w:val="00E10156"/>
    <w:rsid w:val="00E11A81"/>
    <w:rsid w:val="00E11E1E"/>
    <w:rsid w:val="00E137D0"/>
    <w:rsid w:val="00E155FC"/>
    <w:rsid w:val="00E16977"/>
    <w:rsid w:val="00E229B6"/>
    <w:rsid w:val="00E23418"/>
    <w:rsid w:val="00E24819"/>
    <w:rsid w:val="00E24C81"/>
    <w:rsid w:val="00E250BF"/>
    <w:rsid w:val="00E30EAD"/>
    <w:rsid w:val="00E31092"/>
    <w:rsid w:val="00E31459"/>
    <w:rsid w:val="00E34257"/>
    <w:rsid w:val="00E344D3"/>
    <w:rsid w:val="00E34897"/>
    <w:rsid w:val="00E34AF2"/>
    <w:rsid w:val="00E355A3"/>
    <w:rsid w:val="00E36C27"/>
    <w:rsid w:val="00E401E3"/>
    <w:rsid w:val="00E42630"/>
    <w:rsid w:val="00E42868"/>
    <w:rsid w:val="00E43843"/>
    <w:rsid w:val="00E4497E"/>
    <w:rsid w:val="00E45A06"/>
    <w:rsid w:val="00E46C26"/>
    <w:rsid w:val="00E51BDB"/>
    <w:rsid w:val="00E537D9"/>
    <w:rsid w:val="00E54C45"/>
    <w:rsid w:val="00E56D8F"/>
    <w:rsid w:val="00E616AA"/>
    <w:rsid w:val="00E62047"/>
    <w:rsid w:val="00E7002C"/>
    <w:rsid w:val="00E77265"/>
    <w:rsid w:val="00E800CB"/>
    <w:rsid w:val="00E84998"/>
    <w:rsid w:val="00E86924"/>
    <w:rsid w:val="00E8746B"/>
    <w:rsid w:val="00E90AFF"/>
    <w:rsid w:val="00E91835"/>
    <w:rsid w:val="00E9297F"/>
    <w:rsid w:val="00E94606"/>
    <w:rsid w:val="00E96241"/>
    <w:rsid w:val="00E968AE"/>
    <w:rsid w:val="00E97A61"/>
    <w:rsid w:val="00E97CE7"/>
    <w:rsid w:val="00EA07AF"/>
    <w:rsid w:val="00EA28C1"/>
    <w:rsid w:val="00EA2D8D"/>
    <w:rsid w:val="00EB115E"/>
    <w:rsid w:val="00EB1190"/>
    <w:rsid w:val="00EB4008"/>
    <w:rsid w:val="00EB413E"/>
    <w:rsid w:val="00EB5990"/>
    <w:rsid w:val="00EB5C7B"/>
    <w:rsid w:val="00EC0D92"/>
    <w:rsid w:val="00EC1A27"/>
    <w:rsid w:val="00EC2A3F"/>
    <w:rsid w:val="00EC4448"/>
    <w:rsid w:val="00EC5551"/>
    <w:rsid w:val="00EC6D66"/>
    <w:rsid w:val="00EC7ACD"/>
    <w:rsid w:val="00EC7F42"/>
    <w:rsid w:val="00ED0A01"/>
    <w:rsid w:val="00ED215B"/>
    <w:rsid w:val="00ED2EBF"/>
    <w:rsid w:val="00ED4D67"/>
    <w:rsid w:val="00EE08A7"/>
    <w:rsid w:val="00EE353E"/>
    <w:rsid w:val="00EE4141"/>
    <w:rsid w:val="00EE49DB"/>
    <w:rsid w:val="00EE502A"/>
    <w:rsid w:val="00EE65D7"/>
    <w:rsid w:val="00EE71EE"/>
    <w:rsid w:val="00EF0DCC"/>
    <w:rsid w:val="00EF34CE"/>
    <w:rsid w:val="00EF63D7"/>
    <w:rsid w:val="00EF6466"/>
    <w:rsid w:val="00EF6A83"/>
    <w:rsid w:val="00EF7E98"/>
    <w:rsid w:val="00F06D64"/>
    <w:rsid w:val="00F1027A"/>
    <w:rsid w:val="00F10824"/>
    <w:rsid w:val="00F11876"/>
    <w:rsid w:val="00F13D77"/>
    <w:rsid w:val="00F13FEE"/>
    <w:rsid w:val="00F14BDB"/>
    <w:rsid w:val="00F17643"/>
    <w:rsid w:val="00F2047B"/>
    <w:rsid w:val="00F23FE7"/>
    <w:rsid w:val="00F27CD8"/>
    <w:rsid w:val="00F32222"/>
    <w:rsid w:val="00F34C46"/>
    <w:rsid w:val="00F379B6"/>
    <w:rsid w:val="00F410D0"/>
    <w:rsid w:val="00F411F0"/>
    <w:rsid w:val="00F415E9"/>
    <w:rsid w:val="00F42CE2"/>
    <w:rsid w:val="00F433EC"/>
    <w:rsid w:val="00F44EFE"/>
    <w:rsid w:val="00F461A6"/>
    <w:rsid w:val="00F46AC2"/>
    <w:rsid w:val="00F50077"/>
    <w:rsid w:val="00F53582"/>
    <w:rsid w:val="00F57587"/>
    <w:rsid w:val="00F57AFB"/>
    <w:rsid w:val="00F6015B"/>
    <w:rsid w:val="00F625F7"/>
    <w:rsid w:val="00F62F2D"/>
    <w:rsid w:val="00F63A03"/>
    <w:rsid w:val="00F6546E"/>
    <w:rsid w:val="00F660A2"/>
    <w:rsid w:val="00F663E1"/>
    <w:rsid w:val="00F67622"/>
    <w:rsid w:val="00F736BF"/>
    <w:rsid w:val="00F75CF8"/>
    <w:rsid w:val="00F76148"/>
    <w:rsid w:val="00F77AD7"/>
    <w:rsid w:val="00F77B82"/>
    <w:rsid w:val="00F8078F"/>
    <w:rsid w:val="00F835BF"/>
    <w:rsid w:val="00F84396"/>
    <w:rsid w:val="00F844AA"/>
    <w:rsid w:val="00F901CB"/>
    <w:rsid w:val="00F902AC"/>
    <w:rsid w:val="00F91902"/>
    <w:rsid w:val="00F93322"/>
    <w:rsid w:val="00F945E4"/>
    <w:rsid w:val="00F94CA4"/>
    <w:rsid w:val="00F96349"/>
    <w:rsid w:val="00F96CC1"/>
    <w:rsid w:val="00FA0020"/>
    <w:rsid w:val="00FA163E"/>
    <w:rsid w:val="00FA2AC3"/>
    <w:rsid w:val="00FA33F9"/>
    <w:rsid w:val="00FA5805"/>
    <w:rsid w:val="00FA697D"/>
    <w:rsid w:val="00FB0D7D"/>
    <w:rsid w:val="00FB0D87"/>
    <w:rsid w:val="00FB11C8"/>
    <w:rsid w:val="00FB3423"/>
    <w:rsid w:val="00FB5435"/>
    <w:rsid w:val="00FB71E4"/>
    <w:rsid w:val="00FC1359"/>
    <w:rsid w:val="00FC23F8"/>
    <w:rsid w:val="00FC4FDF"/>
    <w:rsid w:val="00FC70C5"/>
    <w:rsid w:val="00FC7C3A"/>
    <w:rsid w:val="00FD369A"/>
    <w:rsid w:val="00FD5414"/>
    <w:rsid w:val="00FE2B0F"/>
    <w:rsid w:val="00FE2B3C"/>
    <w:rsid w:val="00FE6505"/>
    <w:rsid w:val="00FF22EB"/>
    <w:rsid w:val="00FF7CF0"/>
    <w:rsid w:val="011629C0"/>
    <w:rsid w:val="01F27F08"/>
    <w:rsid w:val="033E0291"/>
    <w:rsid w:val="04015A17"/>
    <w:rsid w:val="043F68F2"/>
    <w:rsid w:val="049D7589"/>
    <w:rsid w:val="061C6C2C"/>
    <w:rsid w:val="06FA7D5E"/>
    <w:rsid w:val="07890CB5"/>
    <w:rsid w:val="098466FD"/>
    <w:rsid w:val="0A47119F"/>
    <w:rsid w:val="0A6B4149"/>
    <w:rsid w:val="0B6B6947"/>
    <w:rsid w:val="0C3F61F3"/>
    <w:rsid w:val="0D201792"/>
    <w:rsid w:val="0D471EA8"/>
    <w:rsid w:val="0DFD1E86"/>
    <w:rsid w:val="0E3867BA"/>
    <w:rsid w:val="10B6730D"/>
    <w:rsid w:val="11B219C2"/>
    <w:rsid w:val="11FF3374"/>
    <w:rsid w:val="12885353"/>
    <w:rsid w:val="133F4ADA"/>
    <w:rsid w:val="13F547A5"/>
    <w:rsid w:val="141738D9"/>
    <w:rsid w:val="14CF340A"/>
    <w:rsid w:val="16AC1E1E"/>
    <w:rsid w:val="16D076A3"/>
    <w:rsid w:val="19C33B20"/>
    <w:rsid w:val="1C33262A"/>
    <w:rsid w:val="1ECF2280"/>
    <w:rsid w:val="1F126337"/>
    <w:rsid w:val="210F0AC0"/>
    <w:rsid w:val="228D3410"/>
    <w:rsid w:val="22986BF3"/>
    <w:rsid w:val="240B16A3"/>
    <w:rsid w:val="27221D8A"/>
    <w:rsid w:val="27F71069"/>
    <w:rsid w:val="27F74A47"/>
    <w:rsid w:val="288E0D5B"/>
    <w:rsid w:val="2AA9184C"/>
    <w:rsid w:val="2BF90233"/>
    <w:rsid w:val="3048127D"/>
    <w:rsid w:val="315F72DA"/>
    <w:rsid w:val="33541932"/>
    <w:rsid w:val="33B701A8"/>
    <w:rsid w:val="345A32D3"/>
    <w:rsid w:val="34856929"/>
    <w:rsid w:val="34861CE9"/>
    <w:rsid w:val="36483D5E"/>
    <w:rsid w:val="369B3192"/>
    <w:rsid w:val="3CF35BCF"/>
    <w:rsid w:val="3DEE3E0F"/>
    <w:rsid w:val="3EA250C8"/>
    <w:rsid w:val="3ED617DE"/>
    <w:rsid w:val="3F302042"/>
    <w:rsid w:val="401574A5"/>
    <w:rsid w:val="432E0070"/>
    <w:rsid w:val="44723FB2"/>
    <w:rsid w:val="45CD73C2"/>
    <w:rsid w:val="4714113B"/>
    <w:rsid w:val="48865FA9"/>
    <w:rsid w:val="49657C7E"/>
    <w:rsid w:val="49F94B32"/>
    <w:rsid w:val="4A6935F3"/>
    <w:rsid w:val="4C2F4BCB"/>
    <w:rsid w:val="4DB72ABF"/>
    <w:rsid w:val="4EB915FC"/>
    <w:rsid w:val="51C93BE6"/>
    <w:rsid w:val="532955B9"/>
    <w:rsid w:val="5343381F"/>
    <w:rsid w:val="54734F8F"/>
    <w:rsid w:val="54752426"/>
    <w:rsid w:val="562154C8"/>
    <w:rsid w:val="565A5023"/>
    <w:rsid w:val="56E43103"/>
    <w:rsid w:val="57FC3A81"/>
    <w:rsid w:val="596967FE"/>
    <w:rsid w:val="5C0107E5"/>
    <w:rsid w:val="5C4B364E"/>
    <w:rsid w:val="5EF369AB"/>
    <w:rsid w:val="5EFD6EAF"/>
    <w:rsid w:val="5F9E3F47"/>
    <w:rsid w:val="614F395D"/>
    <w:rsid w:val="61A72B4C"/>
    <w:rsid w:val="65BC142D"/>
    <w:rsid w:val="67CF4D51"/>
    <w:rsid w:val="68C462B3"/>
    <w:rsid w:val="699D34F4"/>
    <w:rsid w:val="6B5A2CBF"/>
    <w:rsid w:val="6FD04AF5"/>
    <w:rsid w:val="70902329"/>
    <w:rsid w:val="709658CE"/>
    <w:rsid w:val="73967F97"/>
    <w:rsid w:val="746C7D5C"/>
    <w:rsid w:val="769C72E8"/>
    <w:rsid w:val="789A1EDB"/>
    <w:rsid w:val="7B947E43"/>
    <w:rsid w:val="7BA7425C"/>
    <w:rsid w:val="7BC7329A"/>
    <w:rsid w:val="7CE02C9B"/>
    <w:rsid w:val="7D825D0E"/>
    <w:rsid w:val="7D9A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v:stroke on="f"/>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semiHidden="0" w:uiPriority="35" w:unhideWhenUsed="0"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40" w:lineRule="exact"/>
      <w:ind w:firstLineChars="200" w:firstLine="200"/>
      <w:jc w:val="both"/>
    </w:pPr>
    <w:rPr>
      <w:rFonts w:eastAsia="仿宋"/>
      <w:kern w:val="2"/>
      <w:sz w:val="32"/>
      <w:szCs w:val="22"/>
    </w:rPr>
  </w:style>
  <w:style w:type="paragraph" w:styleId="1">
    <w:name w:val="heading 1"/>
    <w:basedOn w:val="a"/>
    <w:next w:val="a"/>
    <w:link w:val="1Char"/>
    <w:uiPriority w:val="9"/>
    <w:qFormat/>
    <w:pPr>
      <w:keepNext/>
      <w:keepLines/>
      <w:outlineLvl w:val="0"/>
    </w:pPr>
    <w:rPr>
      <w:rFonts w:eastAsia="黑体"/>
      <w:bCs/>
      <w:kern w:val="44"/>
      <w:szCs w:val="44"/>
    </w:rPr>
  </w:style>
  <w:style w:type="paragraph" w:styleId="2">
    <w:name w:val="heading 2"/>
    <w:basedOn w:val="a"/>
    <w:next w:val="a"/>
    <w:link w:val="2Char"/>
    <w:uiPriority w:val="9"/>
    <w:qFormat/>
    <w:pPr>
      <w:keepNext/>
      <w:keepLines/>
      <w:outlineLvl w:val="1"/>
    </w:pPr>
    <w:rPr>
      <w:rFonts w:ascii="Cambria" w:eastAsia="楷体" w:hAnsi="Cambria" w:cs="Times New Roman"/>
      <w:bCs/>
      <w:szCs w:val="32"/>
    </w:rPr>
  </w:style>
  <w:style w:type="paragraph" w:styleId="3">
    <w:name w:val="heading 3"/>
    <w:basedOn w:val="a"/>
    <w:next w:val="a"/>
    <w:link w:val="3Char"/>
    <w:uiPriority w:val="9"/>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cs="Times New Roman"/>
      <w:sz w:val="20"/>
      <w:szCs w:val="20"/>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7">
    <w:name w:val="footnote text"/>
    <w:basedOn w:val="a"/>
    <w:uiPriority w:val="99"/>
    <w:unhideWhenUsed/>
    <w:qFormat/>
    <w:pPr>
      <w:snapToGrid w:val="0"/>
      <w:jc w:val="left"/>
    </w:pPr>
    <w:rPr>
      <w:sz w:val="18"/>
      <w:szCs w:val="18"/>
    </w:rPr>
  </w:style>
  <w:style w:type="paragraph" w:styleId="20">
    <w:name w:val="toc 2"/>
    <w:basedOn w:val="a"/>
    <w:next w:val="a"/>
    <w:uiPriority w:val="39"/>
    <w:unhideWhenUsed/>
    <w:qFormat/>
    <w:pPr>
      <w:ind w:leftChars="200" w:left="420"/>
    </w:p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styleId="aa">
    <w:name w:val="Emphasis"/>
    <w:basedOn w:val="a0"/>
    <w:uiPriority w:val="20"/>
    <w:qFormat/>
    <w:rPr>
      <w:i/>
    </w:rPr>
  </w:style>
  <w:style w:type="character" w:styleId="ab">
    <w:name w:val="Hyperlink"/>
    <w:uiPriority w:val="99"/>
    <w:unhideWhenUsed/>
    <w:qFormat/>
    <w:rPr>
      <w:color w:val="0000FF"/>
      <w:u w:val="single"/>
    </w:rPr>
  </w:style>
  <w:style w:type="character" w:styleId="ac">
    <w:name w:val="footnote reference"/>
    <w:basedOn w:val="a0"/>
    <w:uiPriority w:val="99"/>
    <w:unhideWhenUsed/>
    <w:qFormat/>
    <w:rPr>
      <w:vertAlign w:val="superscript"/>
    </w:rPr>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Cambria" w:eastAsia="宋体" w:hAnsi="Cambria" w:cs="Times New Roman"/>
      <w:bCs w:val="0"/>
      <w:color w:val="365F91"/>
      <w:kern w:val="0"/>
      <w:szCs w:val="32"/>
    </w:rPr>
  </w:style>
  <w:style w:type="paragraph" w:styleId="ad">
    <w:name w:val="List Paragraph"/>
    <w:basedOn w:val="a"/>
    <w:uiPriority w:val="34"/>
    <w:qFormat/>
    <w:pPr>
      <w:ind w:firstLine="420"/>
    </w:pPr>
  </w:style>
  <w:style w:type="character" w:customStyle="1" w:styleId="Char1">
    <w:name w:val="页眉 Char"/>
    <w:link w:val="a6"/>
    <w:uiPriority w:val="99"/>
    <w:qFormat/>
    <w:rPr>
      <w:sz w:val="18"/>
      <w:szCs w:val="18"/>
    </w:rPr>
  </w:style>
  <w:style w:type="character" w:customStyle="1" w:styleId="Char">
    <w:name w:val="批注框文本 Char"/>
    <w:link w:val="a4"/>
    <w:uiPriority w:val="99"/>
    <w:semiHidden/>
    <w:qFormat/>
    <w:rPr>
      <w:sz w:val="18"/>
      <w:szCs w:val="18"/>
    </w:rPr>
  </w:style>
  <w:style w:type="character" w:customStyle="1" w:styleId="3Char">
    <w:name w:val="标题 3 Char"/>
    <w:link w:val="3"/>
    <w:uiPriority w:val="9"/>
    <w:semiHidden/>
    <w:qFormat/>
    <w:rPr>
      <w:rFonts w:eastAsia="仿宋"/>
      <w:b/>
      <w:bCs/>
      <w:sz w:val="32"/>
      <w:szCs w:val="32"/>
    </w:rPr>
  </w:style>
  <w:style w:type="character" w:customStyle="1" w:styleId="Char0">
    <w:name w:val="页脚 Char"/>
    <w:link w:val="a5"/>
    <w:uiPriority w:val="99"/>
    <w:qFormat/>
    <w:rPr>
      <w:sz w:val="18"/>
      <w:szCs w:val="18"/>
    </w:rPr>
  </w:style>
  <w:style w:type="character" w:customStyle="1" w:styleId="1Char">
    <w:name w:val="标题 1 Char"/>
    <w:link w:val="1"/>
    <w:uiPriority w:val="9"/>
    <w:qFormat/>
    <w:rPr>
      <w:rFonts w:eastAsia="黑体"/>
      <w:bCs/>
      <w:kern w:val="44"/>
      <w:sz w:val="32"/>
      <w:szCs w:val="44"/>
    </w:rPr>
  </w:style>
  <w:style w:type="character" w:customStyle="1" w:styleId="2Char">
    <w:name w:val="标题 2 Char"/>
    <w:link w:val="2"/>
    <w:uiPriority w:val="9"/>
    <w:qFormat/>
    <w:rPr>
      <w:rFonts w:ascii="Cambria" w:eastAsia="楷体" w:hAnsi="Cambria" w:cs="Times New Roman"/>
      <w:bCs/>
      <w:sz w:val="32"/>
      <w:szCs w:val="32"/>
    </w:rPr>
  </w:style>
  <w:style w:type="paragraph" w:styleId="ae">
    <w:name w:val="Revision"/>
    <w:hidden/>
    <w:uiPriority w:val="99"/>
    <w:semiHidden/>
    <w:unhideWhenUsed/>
    <w:rsid w:val="00C43EDB"/>
    <w:rPr>
      <w:rFonts w:eastAsia="仿宋"/>
      <w:kern w:val="2"/>
      <w:sz w:val="32"/>
      <w:szCs w:val="22"/>
    </w:rPr>
  </w:style>
  <w:style w:type="paragraph" w:customStyle="1" w:styleId="Default">
    <w:name w:val="Default"/>
    <w:rsid w:val="00DF33E9"/>
    <w:pPr>
      <w:widowControl w:val="0"/>
      <w:autoSpaceDE w:val="0"/>
      <w:autoSpaceDN w:val="0"/>
      <w:adjustRightInd w:val="0"/>
    </w:pPr>
    <w:rPr>
      <w:rFonts w:ascii="KaiTi" w:hAnsi="KaiTi" w:cs="KaiT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semiHidden="0" w:uiPriority="35" w:unhideWhenUsed="0"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40" w:lineRule="exact"/>
      <w:ind w:firstLineChars="200" w:firstLine="200"/>
      <w:jc w:val="both"/>
    </w:pPr>
    <w:rPr>
      <w:rFonts w:eastAsia="仿宋"/>
      <w:kern w:val="2"/>
      <w:sz w:val="32"/>
      <w:szCs w:val="22"/>
    </w:rPr>
  </w:style>
  <w:style w:type="paragraph" w:styleId="1">
    <w:name w:val="heading 1"/>
    <w:basedOn w:val="a"/>
    <w:next w:val="a"/>
    <w:link w:val="1Char"/>
    <w:uiPriority w:val="9"/>
    <w:qFormat/>
    <w:pPr>
      <w:keepNext/>
      <w:keepLines/>
      <w:outlineLvl w:val="0"/>
    </w:pPr>
    <w:rPr>
      <w:rFonts w:eastAsia="黑体"/>
      <w:bCs/>
      <w:kern w:val="44"/>
      <w:szCs w:val="44"/>
    </w:rPr>
  </w:style>
  <w:style w:type="paragraph" w:styleId="2">
    <w:name w:val="heading 2"/>
    <w:basedOn w:val="a"/>
    <w:next w:val="a"/>
    <w:link w:val="2Char"/>
    <w:uiPriority w:val="9"/>
    <w:qFormat/>
    <w:pPr>
      <w:keepNext/>
      <w:keepLines/>
      <w:outlineLvl w:val="1"/>
    </w:pPr>
    <w:rPr>
      <w:rFonts w:ascii="Cambria" w:eastAsia="楷体" w:hAnsi="Cambria" w:cs="Times New Roman"/>
      <w:bCs/>
      <w:szCs w:val="32"/>
    </w:rPr>
  </w:style>
  <w:style w:type="paragraph" w:styleId="3">
    <w:name w:val="heading 3"/>
    <w:basedOn w:val="a"/>
    <w:next w:val="a"/>
    <w:link w:val="3Char"/>
    <w:uiPriority w:val="9"/>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cs="Times New Roman"/>
      <w:sz w:val="20"/>
      <w:szCs w:val="20"/>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7">
    <w:name w:val="footnote text"/>
    <w:basedOn w:val="a"/>
    <w:uiPriority w:val="99"/>
    <w:unhideWhenUsed/>
    <w:qFormat/>
    <w:pPr>
      <w:snapToGrid w:val="0"/>
      <w:jc w:val="left"/>
    </w:pPr>
    <w:rPr>
      <w:sz w:val="18"/>
      <w:szCs w:val="18"/>
    </w:rPr>
  </w:style>
  <w:style w:type="paragraph" w:styleId="20">
    <w:name w:val="toc 2"/>
    <w:basedOn w:val="a"/>
    <w:next w:val="a"/>
    <w:uiPriority w:val="39"/>
    <w:unhideWhenUsed/>
    <w:qFormat/>
    <w:pPr>
      <w:ind w:leftChars="200" w:left="420"/>
    </w:p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styleId="aa">
    <w:name w:val="Emphasis"/>
    <w:basedOn w:val="a0"/>
    <w:uiPriority w:val="20"/>
    <w:qFormat/>
    <w:rPr>
      <w:i/>
    </w:rPr>
  </w:style>
  <w:style w:type="character" w:styleId="ab">
    <w:name w:val="Hyperlink"/>
    <w:uiPriority w:val="99"/>
    <w:unhideWhenUsed/>
    <w:qFormat/>
    <w:rPr>
      <w:color w:val="0000FF"/>
      <w:u w:val="single"/>
    </w:rPr>
  </w:style>
  <w:style w:type="character" w:styleId="ac">
    <w:name w:val="footnote reference"/>
    <w:basedOn w:val="a0"/>
    <w:uiPriority w:val="99"/>
    <w:unhideWhenUsed/>
    <w:qFormat/>
    <w:rPr>
      <w:vertAlign w:val="superscript"/>
    </w:rPr>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Cambria" w:eastAsia="宋体" w:hAnsi="Cambria" w:cs="Times New Roman"/>
      <w:bCs w:val="0"/>
      <w:color w:val="365F91"/>
      <w:kern w:val="0"/>
      <w:szCs w:val="32"/>
    </w:rPr>
  </w:style>
  <w:style w:type="paragraph" w:styleId="ad">
    <w:name w:val="List Paragraph"/>
    <w:basedOn w:val="a"/>
    <w:uiPriority w:val="34"/>
    <w:qFormat/>
    <w:pPr>
      <w:ind w:firstLine="420"/>
    </w:pPr>
  </w:style>
  <w:style w:type="character" w:customStyle="1" w:styleId="Char1">
    <w:name w:val="页眉 Char"/>
    <w:link w:val="a6"/>
    <w:uiPriority w:val="99"/>
    <w:qFormat/>
    <w:rPr>
      <w:sz w:val="18"/>
      <w:szCs w:val="18"/>
    </w:rPr>
  </w:style>
  <w:style w:type="character" w:customStyle="1" w:styleId="Char">
    <w:name w:val="批注框文本 Char"/>
    <w:link w:val="a4"/>
    <w:uiPriority w:val="99"/>
    <w:semiHidden/>
    <w:qFormat/>
    <w:rPr>
      <w:sz w:val="18"/>
      <w:szCs w:val="18"/>
    </w:rPr>
  </w:style>
  <w:style w:type="character" w:customStyle="1" w:styleId="3Char">
    <w:name w:val="标题 3 Char"/>
    <w:link w:val="3"/>
    <w:uiPriority w:val="9"/>
    <w:semiHidden/>
    <w:qFormat/>
    <w:rPr>
      <w:rFonts w:eastAsia="仿宋"/>
      <w:b/>
      <w:bCs/>
      <w:sz w:val="32"/>
      <w:szCs w:val="32"/>
    </w:rPr>
  </w:style>
  <w:style w:type="character" w:customStyle="1" w:styleId="Char0">
    <w:name w:val="页脚 Char"/>
    <w:link w:val="a5"/>
    <w:uiPriority w:val="99"/>
    <w:qFormat/>
    <w:rPr>
      <w:sz w:val="18"/>
      <w:szCs w:val="18"/>
    </w:rPr>
  </w:style>
  <w:style w:type="character" w:customStyle="1" w:styleId="1Char">
    <w:name w:val="标题 1 Char"/>
    <w:link w:val="1"/>
    <w:uiPriority w:val="9"/>
    <w:qFormat/>
    <w:rPr>
      <w:rFonts w:eastAsia="黑体"/>
      <w:bCs/>
      <w:kern w:val="44"/>
      <w:sz w:val="32"/>
      <w:szCs w:val="44"/>
    </w:rPr>
  </w:style>
  <w:style w:type="character" w:customStyle="1" w:styleId="2Char">
    <w:name w:val="标题 2 Char"/>
    <w:link w:val="2"/>
    <w:uiPriority w:val="9"/>
    <w:qFormat/>
    <w:rPr>
      <w:rFonts w:ascii="Cambria" w:eastAsia="楷体" w:hAnsi="Cambria" w:cs="Times New Roman"/>
      <w:bCs/>
      <w:sz w:val="32"/>
      <w:szCs w:val="32"/>
    </w:rPr>
  </w:style>
  <w:style w:type="paragraph" w:styleId="ae">
    <w:name w:val="Revision"/>
    <w:hidden/>
    <w:uiPriority w:val="99"/>
    <w:semiHidden/>
    <w:unhideWhenUsed/>
    <w:rsid w:val="00C43EDB"/>
    <w:rPr>
      <w:rFonts w:eastAsia="仿宋"/>
      <w:kern w:val="2"/>
      <w:sz w:val="32"/>
      <w:szCs w:val="22"/>
    </w:rPr>
  </w:style>
  <w:style w:type="paragraph" w:customStyle="1" w:styleId="Default">
    <w:name w:val="Default"/>
    <w:rsid w:val="00DF33E9"/>
    <w:pPr>
      <w:widowControl w:val="0"/>
      <w:autoSpaceDE w:val="0"/>
      <w:autoSpaceDN w:val="0"/>
      <w:adjustRightInd w:val="0"/>
    </w:pPr>
    <w:rPr>
      <w:rFonts w:ascii="KaiTi" w:hAnsi="KaiTi" w:cs="Kai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6926">
      <w:bodyDiv w:val="1"/>
      <w:marLeft w:val="0"/>
      <w:marRight w:val="0"/>
      <w:marTop w:val="0"/>
      <w:marBottom w:val="0"/>
      <w:divBdr>
        <w:top w:val="none" w:sz="0" w:space="0" w:color="auto"/>
        <w:left w:val="none" w:sz="0" w:space="0" w:color="auto"/>
        <w:bottom w:val="none" w:sz="0" w:space="0" w:color="auto"/>
        <w:right w:val="none" w:sz="0" w:space="0" w:color="auto"/>
      </w:divBdr>
    </w:div>
    <w:div w:id="174806399">
      <w:bodyDiv w:val="1"/>
      <w:marLeft w:val="0"/>
      <w:marRight w:val="0"/>
      <w:marTop w:val="0"/>
      <w:marBottom w:val="0"/>
      <w:divBdr>
        <w:top w:val="none" w:sz="0" w:space="0" w:color="auto"/>
        <w:left w:val="none" w:sz="0" w:space="0" w:color="auto"/>
        <w:bottom w:val="none" w:sz="0" w:space="0" w:color="auto"/>
        <w:right w:val="none" w:sz="0" w:space="0" w:color="auto"/>
      </w:divBdr>
    </w:div>
    <w:div w:id="21531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a&#26464;&#26464;\&#32508;&#21512;&#24037;&#20316;&#21488;&#36134;\2023&#32508;&#21512;&#24037;&#20316;\2023.1&#25151;&#22320;&#20135;&#23457;&#21028;&#24037;&#20316;&#25253;&#21578;\&#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26464;&#26464;\&#32508;&#21512;&#24037;&#20316;&#21488;&#36134;\2023&#32508;&#21512;&#24037;&#20316;\2023.1&#25151;&#22320;&#20135;&#23457;&#21028;&#24037;&#20316;&#25253;&#21578;\&#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Sheet1!$B$22</c:f>
              <c:strCache>
                <c:ptCount val="1"/>
                <c:pt idx="0">
                  <c:v>收案数</c:v>
                </c:pt>
              </c:strCache>
            </c:strRef>
          </c:tx>
          <c:dLbls>
            <c:dLblPos val="t"/>
            <c:showLegendKey val="0"/>
            <c:showVal val="1"/>
            <c:showCatName val="0"/>
            <c:showSerName val="0"/>
            <c:showPercent val="0"/>
            <c:showBubbleSize val="0"/>
            <c:showLeaderLines val="0"/>
          </c:dLbls>
          <c:cat>
            <c:numRef>
              <c:f>Sheet1!$A$23:$A$28</c:f>
              <c:numCache>
                <c:formatCode>General</c:formatCode>
                <c:ptCount val="6"/>
                <c:pt idx="0">
                  <c:v>2017</c:v>
                </c:pt>
                <c:pt idx="1">
                  <c:v>2018</c:v>
                </c:pt>
                <c:pt idx="2">
                  <c:v>2019</c:v>
                </c:pt>
                <c:pt idx="3">
                  <c:v>2020</c:v>
                </c:pt>
                <c:pt idx="4">
                  <c:v>2021</c:v>
                </c:pt>
                <c:pt idx="5">
                  <c:v>2022</c:v>
                </c:pt>
              </c:numCache>
            </c:numRef>
          </c:cat>
          <c:val>
            <c:numRef>
              <c:f>Sheet1!$B$23:$B$28</c:f>
              <c:numCache>
                <c:formatCode>General</c:formatCode>
                <c:ptCount val="6"/>
                <c:pt idx="0">
                  <c:v>22453</c:v>
                </c:pt>
                <c:pt idx="1">
                  <c:v>24551</c:v>
                </c:pt>
                <c:pt idx="2">
                  <c:v>24421</c:v>
                </c:pt>
                <c:pt idx="3">
                  <c:v>25549</c:v>
                </c:pt>
                <c:pt idx="4">
                  <c:v>26783</c:v>
                </c:pt>
                <c:pt idx="5">
                  <c:v>21462</c:v>
                </c:pt>
              </c:numCache>
            </c:numRef>
          </c:val>
          <c:smooth val="0"/>
        </c:ser>
        <c:ser>
          <c:idx val="1"/>
          <c:order val="1"/>
          <c:tx>
            <c:strRef>
              <c:f>Sheet1!$C$22</c:f>
              <c:strCache>
                <c:ptCount val="1"/>
                <c:pt idx="0">
                  <c:v>结案数</c:v>
                </c:pt>
              </c:strCache>
            </c:strRef>
          </c:tx>
          <c:dLbls>
            <c:dLblPos val="b"/>
            <c:showLegendKey val="0"/>
            <c:showVal val="1"/>
            <c:showCatName val="0"/>
            <c:showSerName val="0"/>
            <c:showPercent val="0"/>
            <c:showBubbleSize val="0"/>
            <c:showLeaderLines val="0"/>
          </c:dLbls>
          <c:cat>
            <c:numRef>
              <c:f>Sheet1!$A$23:$A$28</c:f>
              <c:numCache>
                <c:formatCode>General</c:formatCode>
                <c:ptCount val="6"/>
                <c:pt idx="0">
                  <c:v>2017</c:v>
                </c:pt>
                <c:pt idx="1">
                  <c:v>2018</c:v>
                </c:pt>
                <c:pt idx="2">
                  <c:v>2019</c:v>
                </c:pt>
                <c:pt idx="3">
                  <c:v>2020</c:v>
                </c:pt>
                <c:pt idx="4">
                  <c:v>2021</c:v>
                </c:pt>
                <c:pt idx="5">
                  <c:v>2022</c:v>
                </c:pt>
              </c:numCache>
            </c:numRef>
          </c:cat>
          <c:val>
            <c:numRef>
              <c:f>Sheet1!$C$23:$C$28</c:f>
              <c:numCache>
                <c:formatCode>General</c:formatCode>
                <c:ptCount val="6"/>
                <c:pt idx="0">
                  <c:v>19584</c:v>
                </c:pt>
                <c:pt idx="1">
                  <c:v>20992</c:v>
                </c:pt>
                <c:pt idx="2">
                  <c:v>22495</c:v>
                </c:pt>
                <c:pt idx="3">
                  <c:v>24769</c:v>
                </c:pt>
                <c:pt idx="4">
                  <c:v>26097</c:v>
                </c:pt>
                <c:pt idx="5">
                  <c:v>22521</c:v>
                </c:pt>
              </c:numCache>
            </c:numRef>
          </c:val>
          <c:smooth val="0"/>
        </c:ser>
        <c:dLbls>
          <c:showLegendKey val="0"/>
          <c:showVal val="0"/>
          <c:showCatName val="0"/>
          <c:showSerName val="0"/>
          <c:showPercent val="0"/>
          <c:showBubbleSize val="0"/>
        </c:dLbls>
        <c:marker val="1"/>
        <c:smooth val="0"/>
        <c:axId val="104589568"/>
        <c:axId val="104595456"/>
      </c:lineChart>
      <c:catAx>
        <c:axId val="104589568"/>
        <c:scaling>
          <c:orientation val="minMax"/>
        </c:scaling>
        <c:delete val="0"/>
        <c:axPos val="b"/>
        <c:numFmt formatCode="General" sourceLinked="1"/>
        <c:majorTickMark val="out"/>
        <c:minorTickMark val="none"/>
        <c:tickLblPos val="nextTo"/>
        <c:crossAx val="104595456"/>
        <c:crosses val="autoZero"/>
        <c:auto val="1"/>
        <c:lblAlgn val="ctr"/>
        <c:lblOffset val="100"/>
        <c:noMultiLvlLbl val="0"/>
      </c:catAx>
      <c:valAx>
        <c:axId val="104595456"/>
        <c:scaling>
          <c:orientation val="minMax"/>
          <c:min val="18000"/>
        </c:scaling>
        <c:delete val="0"/>
        <c:axPos val="l"/>
        <c:majorGridlines/>
        <c:numFmt formatCode="General" sourceLinked="1"/>
        <c:majorTickMark val="out"/>
        <c:minorTickMark val="none"/>
        <c:tickLblPos val="nextTo"/>
        <c:crossAx val="104589568"/>
        <c:crosses val="autoZero"/>
        <c:crossBetween val="between"/>
        <c:majorUnit val="2000"/>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Sheet1!$B$38</c:f>
              <c:strCache>
                <c:ptCount val="1"/>
                <c:pt idx="0">
                  <c:v>建设工程合同纠纷</c:v>
                </c:pt>
              </c:strCache>
            </c:strRef>
          </c:tx>
          <c:cat>
            <c:numRef>
              <c:f>Sheet1!$A$39:$A$44</c:f>
              <c:numCache>
                <c:formatCode>General</c:formatCode>
                <c:ptCount val="6"/>
                <c:pt idx="0">
                  <c:v>2017</c:v>
                </c:pt>
                <c:pt idx="1">
                  <c:v>2018</c:v>
                </c:pt>
                <c:pt idx="2">
                  <c:v>2019</c:v>
                </c:pt>
                <c:pt idx="3">
                  <c:v>2020</c:v>
                </c:pt>
                <c:pt idx="4">
                  <c:v>2021</c:v>
                </c:pt>
                <c:pt idx="5">
                  <c:v>2022</c:v>
                </c:pt>
              </c:numCache>
            </c:numRef>
          </c:cat>
          <c:val>
            <c:numRef>
              <c:f>Sheet1!$B$39:$B$44</c:f>
              <c:numCache>
                <c:formatCode>General</c:formatCode>
                <c:ptCount val="6"/>
                <c:pt idx="0">
                  <c:v>2854</c:v>
                </c:pt>
                <c:pt idx="1">
                  <c:v>3466</c:v>
                </c:pt>
                <c:pt idx="2">
                  <c:v>4261</c:v>
                </c:pt>
                <c:pt idx="3">
                  <c:v>4083</c:v>
                </c:pt>
                <c:pt idx="4">
                  <c:v>5096</c:v>
                </c:pt>
                <c:pt idx="5">
                  <c:v>5435</c:v>
                </c:pt>
              </c:numCache>
            </c:numRef>
          </c:val>
          <c:smooth val="0"/>
        </c:ser>
        <c:ser>
          <c:idx val="1"/>
          <c:order val="1"/>
          <c:tx>
            <c:strRef>
              <c:f>Sheet1!$C$38</c:f>
              <c:strCache>
                <c:ptCount val="1"/>
                <c:pt idx="0">
                  <c:v>建设用地使用权合同纠纷</c:v>
                </c:pt>
              </c:strCache>
            </c:strRef>
          </c:tx>
          <c:cat>
            <c:numRef>
              <c:f>Sheet1!$A$39:$A$44</c:f>
              <c:numCache>
                <c:formatCode>General</c:formatCode>
                <c:ptCount val="6"/>
                <c:pt idx="0">
                  <c:v>2017</c:v>
                </c:pt>
                <c:pt idx="1">
                  <c:v>2018</c:v>
                </c:pt>
                <c:pt idx="2">
                  <c:v>2019</c:v>
                </c:pt>
                <c:pt idx="3">
                  <c:v>2020</c:v>
                </c:pt>
                <c:pt idx="4">
                  <c:v>2021</c:v>
                </c:pt>
                <c:pt idx="5">
                  <c:v>2022</c:v>
                </c:pt>
              </c:numCache>
            </c:numRef>
          </c:cat>
          <c:val>
            <c:numRef>
              <c:f>Sheet1!$C$39:$C$44</c:f>
              <c:numCache>
                <c:formatCode>General</c:formatCode>
                <c:ptCount val="6"/>
                <c:pt idx="0">
                  <c:v>12</c:v>
                </c:pt>
                <c:pt idx="1">
                  <c:v>21</c:v>
                </c:pt>
                <c:pt idx="2">
                  <c:v>12</c:v>
                </c:pt>
                <c:pt idx="3">
                  <c:v>9</c:v>
                </c:pt>
                <c:pt idx="4">
                  <c:v>14</c:v>
                </c:pt>
                <c:pt idx="5">
                  <c:v>10</c:v>
                </c:pt>
              </c:numCache>
            </c:numRef>
          </c:val>
          <c:smooth val="0"/>
        </c:ser>
        <c:ser>
          <c:idx val="2"/>
          <c:order val="2"/>
          <c:tx>
            <c:strRef>
              <c:f>Sheet1!$D$38</c:f>
              <c:strCache>
                <c:ptCount val="1"/>
                <c:pt idx="0">
                  <c:v>房屋买卖合同纠纷</c:v>
                </c:pt>
              </c:strCache>
            </c:strRef>
          </c:tx>
          <c:cat>
            <c:numRef>
              <c:f>Sheet1!$A$39:$A$44</c:f>
              <c:numCache>
                <c:formatCode>General</c:formatCode>
                <c:ptCount val="6"/>
                <c:pt idx="0">
                  <c:v>2017</c:v>
                </c:pt>
                <c:pt idx="1">
                  <c:v>2018</c:v>
                </c:pt>
                <c:pt idx="2">
                  <c:v>2019</c:v>
                </c:pt>
                <c:pt idx="3">
                  <c:v>2020</c:v>
                </c:pt>
                <c:pt idx="4">
                  <c:v>2021</c:v>
                </c:pt>
                <c:pt idx="5">
                  <c:v>2022</c:v>
                </c:pt>
              </c:numCache>
            </c:numRef>
          </c:cat>
          <c:val>
            <c:numRef>
              <c:f>Sheet1!$D$39:$D$44</c:f>
              <c:numCache>
                <c:formatCode>General</c:formatCode>
                <c:ptCount val="6"/>
                <c:pt idx="0">
                  <c:v>8966</c:v>
                </c:pt>
                <c:pt idx="1">
                  <c:v>8298</c:v>
                </c:pt>
                <c:pt idx="2">
                  <c:v>7546</c:v>
                </c:pt>
                <c:pt idx="3">
                  <c:v>5860</c:v>
                </c:pt>
                <c:pt idx="4">
                  <c:v>6639</c:v>
                </c:pt>
                <c:pt idx="5">
                  <c:v>4593</c:v>
                </c:pt>
              </c:numCache>
            </c:numRef>
          </c:val>
          <c:smooth val="0"/>
        </c:ser>
        <c:ser>
          <c:idx val="3"/>
          <c:order val="3"/>
          <c:tx>
            <c:strRef>
              <c:f>Sheet1!$E$38</c:f>
              <c:strCache>
                <c:ptCount val="1"/>
                <c:pt idx="0">
                  <c:v>租赁合同纠纷</c:v>
                </c:pt>
              </c:strCache>
            </c:strRef>
          </c:tx>
          <c:cat>
            <c:numRef>
              <c:f>Sheet1!$A$39:$A$44</c:f>
              <c:numCache>
                <c:formatCode>General</c:formatCode>
                <c:ptCount val="6"/>
                <c:pt idx="0">
                  <c:v>2017</c:v>
                </c:pt>
                <c:pt idx="1">
                  <c:v>2018</c:v>
                </c:pt>
                <c:pt idx="2">
                  <c:v>2019</c:v>
                </c:pt>
                <c:pt idx="3">
                  <c:v>2020</c:v>
                </c:pt>
                <c:pt idx="4">
                  <c:v>2021</c:v>
                </c:pt>
                <c:pt idx="5">
                  <c:v>2022</c:v>
                </c:pt>
              </c:numCache>
            </c:numRef>
          </c:cat>
          <c:val>
            <c:numRef>
              <c:f>Sheet1!$E$39:$E$44</c:f>
              <c:numCache>
                <c:formatCode>General</c:formatCode>
                <c:ptCount val="6"/>
                <c:pt idx="0">
                  <c:v>6184</c:v>
                </c:pt>
                <c:pt idx="1">
                  <c:v>7521</c:v>
                </c:pt>
                <c:pt idx="2">
                  <c:v>8404</c:v>
                </c:pt>
                <c:pt idx="3">
                  <c:v>8016</c:v>
                </c:pt>
                <c:pt idx="4">
                  <c:v>8525</c:v>
                </c:pt>
                <c:pt idx="5">
                  <c:v>6847</c:v>
                </c:pt>
              </c:numCache>
            </c:numRef>
          </c:val>
          <c:smooth val="0"/>
        </c:ser>
        <c:ser>
          <c:idx val="4"/>
          <c:order val="4"/>
          <c:tx>
            <c:strRef>
              <c:f>Sheet1!$F$38</c:f>
              <c:strCache>
                <c:ptCount val="1"/>
                <c:pt idx="0">
                  <c:v>物业服务合同纠纷</c:v>
                </c:pt>
              </c:strCache>
            </c:strRef>
          </c:tx>
          <c:cat>
            <c:numRef>
              <c:f>Sheet1!$A$39:$A$44</c:f>
              <c:numCache>
                <c:formatCode>General</c:formatCode>
                <c:ptCount val="6"/>
                <c:pt idx="0">
                  <c:v>2017</c:v>
                </c:pt>
                <c:pt idx="1">
                  <c:v>2018</c:v>
                </c:pt>
                <c:pt idx="2">
                  <c:v>2019</c:v>
                </c:pt>
                <c:pt idx="3">
                  <c:v>2020</c:v>
                </c:pt>
                <c:pt idx="4">
                  <c:v>2021</c:v>
                </c:pt>
                <c:pt idx="5">
                  <c:v>2022</c:v>
                </c:pt>
              </c:numCache>
            </c:numRef>
          </c:cat>
          <c:val>
            <c:numRef>
              <c:f>Sheet1!$F$39:$F$44</c:f>
              <c:numCache>
                <c:formatCode>General</c:formatCode>
                <c:ptCount val="6"/>
                <c:pt idx="0">
                  <c:v>4008</c:v>
                </c:pt>
                <c:pt idx="1">
                  <c:v>4902</c:v>
                </c:pt>
                <c:pt idx="2">
                  <c:v>3789</c:v>
                </c:pt>
                <c:pt idx="3">
                  <c:v>7088</c:v>
                </c:pt>
                <c:pt idx="4">
                  <c:v>5960</c:v>
                </c:pt>
                <c:pt idx="5">
                  <c:v>4577</c:v>
                </c:pt>
              </c:numCache>
            </c:numRef>
          </c:val>
          <c:smooth val="0"/>
        </c:ser>
        <c:dLbls>
          <c:dLblPos val="r"/>
          <c:showLegendKey val="0"/>
          <c:showVal val="1"/>
          <c:showCatName val="0"/>
          <c:showSerName val="0"/>
          <c:showPercent val="0"/>
          <c:showBubbleSize val="0"/>
        </c:dLbls>
        <c:marker val="1"/>
        <c:smooth val="0"/>
        <c:axId val="104646528"/>
        <c:axId val="104648064"/>
      </c:lineChart>
      <c:catAx>
        <c:axId val="104646528"/>
        <c:scaling>
          <c:orientation val="minMax"/>
        </c:scaling>
        <c:delete val="0"/>
        <c:axPos val="b"/>
        <c:numFmt formatCode="General" sourceLinked="1"/>
        <c:majorTickMark val="out"/>
        <c:minorTickMark val="none"/>
        <c:tickLblPos val="nextTo"/>
        <c:crossAx val="104648064"/>
        <c:crosses val="autoZero"/>
        <c:auto val="1"/>
        <c:lblAlgn val="ctr"/>
        <c:lblOffset val="100"/>
        <c:noMultiLvlLbl val="0"/>
      </c:catAx>
      <c:valAx>
        <c:axId val="104648064"/>
        <c:scaling>
          <c:orientation val="minMax"/>
        </c:scaling>
        <c:delete val="0"/>
        <c:axPos val="l"/>
        <c:majorGridlines/>
        <c:numFmt formatCode="General" sourceLinked="1"/>
        <c:majorTickMark val="out"/>
        <c:minorTickMark val="none"/>
        <c:tickLblPos val="nextTo"/>
        <c:crossAx val="104646528"/>
        <c:crosses val="autoZero"/>
        <c:crossBetween val="between"/>
        <c:majorUnit val="1000"/>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81709-9574-491F-A192-0CFBAA78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11</Pages>
  <Words>4629</Words>
  <Characters>764</Characters>
  <Application>Microsoft Office Word</Application>
  <DocSecurity>0</DocSecurity>
  <Lines>6</Lines>
  <Paragraphs>10</Paragraphs>
  <ScaleCrop>false</ScaleCrop>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徐馨岚</dc:creator>
  <cp:lastModifiedBy>顾莹</cp:lastModifiedBy>
  <cp:revision>838</cp:revision>
  <cp:lastPrinted>2023-02-15T12:42:00Z</cp:lastPrinted>
  <dcterms:created xsi:type="dcterms:W3CDTF">2023-01-30T03:03:00Z</dcterms:created>
  <dcterms:modified xsi:type="dcterms:W3CDTF">2023-07-04T04:18:00Z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